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838"/>
        <w:gridCol w:w="277"/>
        <w:gridCol w:w="444"/>
        <w:gridCol w:w="141"/>
        <w:gridCol w:w="1220"/>
        <w:gridCol w:w="925"/>
        <w:gridCol w:w="316"/>
        <w:gridCol w:w="112"/>
        <w:gridCol w:w="1030"/>
        <w:gridCol w:w="480"/>
        <w:gridCol w:w="186"/>
        <w:gridCol w:w="1448"/>
        <w:gridCol w:w="469"/>
        <w:gridCol w:w="1950"/>
      </w:tblGrid>
      <w:tr w:rsidR="00B46818" w:rsidRPr="00491993" w:rsidTr="00B46818">
        <w:trPr>
          <w:trHeight w:val="427"/>
        </w:trPr>
        <w:tc>
          <w:tcPr>
            <w:tcW w:w="4979" w:type="dxa"/>
            <w:gridSpan w:val="8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75" w:type="dxa"/>
            <w:gridSpan w:val="7"/>
          </w:tcPr>
          <w:p w:rsidR="00B46818" w:rsidRPr="00797C10" w:rsidRDefault="00B46818" w:rsidP="00B46818">
            <w:r w:rsidRPr="00797C10">
              <w:t>Schlüter, Stephan Dionys Johannes</w:t>
            </w:r>
          </w:p>
        </w:tc>
      </w:tr>
      <w:tr w:rsidR="00B46818" w:rsidRPr="00491993" w:rsidTr="00B46818">
        <w:trPr>
          <w:trHeight w:val="427"/>
        </w:trPr>
        <w:tc>
          <w:tcPr>
            <w:tcW w:w="4979" w:type="dxa"/>
            <w:gridSpan w:val="8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75" w:type="dxa"/>
            <w:gridSpan w:val="7"/>
          </w:tcPr>
          <w:p w:rsidR="00B46818" w:rsidRPr="00797C10" w:rsidRDefault="00B46818" w:rsidP="00B46818">
            <w:r w:rsidRPr="00797C10">
              <w:t>Редовни професор</w:t>
            </w:r>
          </w:p>
        </w:tc>
      </w:tr>
      <w:tr w:rsidR="00B46818" w:rsidRPr="00491993" w:rsidTr="00B46818">
        <w:trPr>
          <w:trHeight w:val="427"/>
        </w:trPr>
        <w:tc>
          <w:tcPr>
            <w:tcW w:w="4979" w:type="dxa"/>
            <w:gridSpan w:val="8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75" w:type="dxa"/>
            <w:gridSpan w:val="7"/>
          </w:tcPr>
          <w:p w:rsidR="00B46818" w:rsidRPr="00797C10" w:rsidRDefault="00B46818" w:rsidP="00B46818">
            <w:r w:rsidRPr="00797C10">
              <w:t>Универзитет примењених наука Улм</w:t>
            </w:r>
            <w:r>
              <w:t>, 1.9.2016.</w:t>
            </w:r>
          </w:p>
        </w:tc>
      </w:tr>
      <w:tr w:rsidR="00870D94" w:rsidRPr="00491993" w:rsidTr="00B46818">
        <w:trPr>
          <w:trHeight w:val="427"/>
        </w:trPr>
        <w:tc>
          <w:tcPr>
            <w:tcW w:w="4979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75" w:type="dxa"/>
            <w:gridSpan w:val="7"/>
            <w:vAlign w:val="center"/>
          </w:tcPr>
          <w:p w:rsidR="00870D94" w:rsidRPr="00491993" w:rsidRDefault="00B46818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6818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економетрија</w:t>
            </w:r>
            <w:r w:rsidRPr="00B46818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B46818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B46818">
        <w:trPr>
          <w:trHeight w:val="427"/>
        </w:trPr>
        <w:tc>
          <w:tcPr>
            <w:tcW w:w="2518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46818" w:rsidRPr="00491993" w:rsidTr="00B46818">
        <w:trPr>
          <w:trHeight w:val="427"/>
        </w:trPr>
        <w:tc>
          <w:tcPr>
            <w:tcW w:w="2518" w:type="dxa"/>
            <w:gridSpan w:val="5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0" w:type="dxa"/>
          </w:tcPr>
          <w:p w:rsidR="00B46818" w:rsidRPr="00520124" w:rsidRDefault="00B46818" w:rsidP="00B46818">
            <w:r w:rsidRPr="00520124">
              <w:t>01.09.2016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B46818" w:rsidRPr="00520124" w:rsidRDefault="00B46818" w:rsidP="00B46818">
            <w:r w:rsidRPr="00520124">
              <w:t>Универзитет примењених наука Улм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B46818" w:rsidRPr="00491993" w:rsidRDefault="007064B1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Техничке науке</w:t>
            </w:r>
          </w:p>
        </w:tc>
        <w:tc>
          <w:tcPr>
            <w:tcW w:w="2419" w:type="dxa"/>
            <w:gridSpan w:val="2"/>
            <w:shd w:val="clear" w:color="auto" w:fill="auto"/>
          </w:tcPr>
          <w:p w:rsidR="00B46818" w:rsidRPr="00C73BBA" w:rsidRDefault="00B46818" w:rsidP="00B46818">
            <w:r w:rsidRPr="00C73BBA">
              <w:t>Математика</w:t>
            </w:r>
          </w:p>
        </w:tc>
      </w:tr>
      <w:tr w:rsidR="00B46818" w:rsidRPr="00491993" w:rsidTr="00B46818">
        <w:trPr>
          <w:trHeight w:val="427"/>
        </w:trPr>
        <w:tc>
          <w:tcPr>
            <w:tcW w:w="2518" w:type="dxa"/>
            <w:gridSpan w:val="5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0" w:type="dxa"/>
          </w:tcPr>
          <w:p w:rsidR="00B46818" w:rsidRPr="00520124" w:rsidRDefault="00B46818" w:rsidP="00B46818">
            <w:r w:rsidRPr="00520124">
              <w:t>27.01.2011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B46818" w:rsidRDefault="00B46818" w:rsidP="00B46818">
            <w:r w:rsidRPr="00520124">
              <w:t>Универзитет у Ерланген-Нирнбергу, Ерланген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</w:tcPr>
          <w:p w:rsidR="00B46818" w:rsidRDefault="00B46818" w:rsidP="00B46818">
            <w:r w:rsidRPr="00C73BBA">
              <w:t>Економетрија</w:t>
            </w:r>
          </w:p>
        </w:tc>
      </w:tr>
      <w:tr w:rsidR="00870D94" w:rsidRPr="00491993" w:rsidTr="00B46818">
        <w:trPr>
          <w:trHeight w:val="427"/>
        </w:trPr>
        <w:tc>
          <w:tcPr>
            <w:tcW w:w="2518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20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46818" w:rsidRPr="00491993" w:rsidTr="008917C0">
        <w:trPr>
          <w:trHeight w:val="427"/>
        </w:trPr>
        <w:tc>
          <w:tcPr>
            <w:tcW w:w="2518" w:type="dxa"/>
            <w:gridSpan w:val="5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20" w:type="dxa"/>
          </w:tcPr>
          <w:p w:rsidR="00B46818" w:rsidRPr="005C4273" w:rsidRDefault="00B46818" w:rsidP="00B46818">
            <w:r w:rsidRPr="005C4273">
              <w:t>26.02.2008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B46818" w:rsidRPr="005C4273" w:rsidRDefault="00B46818" w:rsidP="00B46818">
            <w:r w:rsidRPr="005C4273">
              <w:t>Универзитет у Ерланген-Нирнбергу, Ерланген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6818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математика</w:t>
            </w:r>
          </w:p>
        </w:tc>
      </w:tr>
      <w:tr w:rsidR="00B46818" w:rsidRPr="00491993" w:rsidTr="008917C0">
        <w:trPr>
          <w:trHeight w:val="427"/>
        </w:trPr>
        <w:tc>
          <w:tcPr>
            <w:tcW w:w="2518" w:type="dxa"/>
            <w:gridSpan w:val="5"/>
            <w:vAlign w:val="center"/>
          </w:tcPr>
          <w:p w:rsidR="00B46818" w:rsidRPr="00AC0E94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20" w:type="dxa"/>
          </w:tcPr>
          <w:p w:rsidR="00B46818" w:rsidRPr="005C4273" w:rsidRDefault="00B46818" w:rsidP="00B46818"/>
        </w:tc>
        <w:tc>
          <w:tcPr>
            <w:tcW w:w="2383" w:type="dxa"/>
            <w:gridSpan w:val="4"/>
            <w:shd w:val="clear" w:color="auto" w:fill="auto"/>
          </w:tcPr>
          <w:p w:rsidR="00B46818" w:rsidRDefault="00B46818" w:rsidP="00B46818"/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46818" w:rsidRPr="00491993" w:rsidTr="005B2537">
        <w:trPr>
          <w:trHeight w:val="427"/>
        </w:trPr>
        <w:tc>
          <w:tcPr>
            <w:tcW w:w="2518" w:type="dxa"/>
            <w:gridSpan w:val="5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0" w:type="dxa"/>
          </w:tcPr>
          <w:p w:rsidR="00B46818" w:rsidRPr="00AE73A9" w:rsidRDefault="00B46818" w:rsidP="00B46818">
            <w:r w:rsidRPr="00AE73A9">
              <w:t>12.10.2004</w:t>
            </w:r>
          </w:p>
        </w:tc>
        <w:tc>
          <w:tcPr>
            <w:tcW w:w="2383" w:type="dxa"/>
            <w:gridSpan w:val="4"/>
            <w:shd w:val="clear" w:color="auto" w:fill="auto"/>
          </w:tcPr>
          <w:p w:rsidR="00B46818" w:rsidRDefault="00B46818" w:rsidP="00B46818">
            <w:r w:rsidRPr="00AE73A9">
              <w:t>Универзитет у Ерланген-Нирнбергу, Ерланген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B46818" w:rsidRPr="00491993" w:rsidRDefault="00B46818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46818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математика</w:t>
            </w:r>
          </w:p>
        </w:tc>
      </w:tr>
      <w:tr w:rsidR="00870D94" w:rsidRPr="00491993" w:rsidTr="00B46818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B46818">
        <w:trPr>
          <w:trHeight w:val="822"/>
        </w:trPr>
        <w:tc>
          <w:tcPr>
            <w:tcW w:w="818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58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46818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B46818" w:rsidRPr="005C1DB0" w:rsidRDefault="00B46818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46818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B46818" w:rsidRPr="00F02455" w:rsidRDefault="00B46818" w:rsidP="00B46818">
            <w:r w:rsidRPr="00F02455">
              <w:t>Примењена анализа временских серија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B46818" w:rsidRPr="005C1DB0" w:rsidRDefault="005C1DB0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B46818" w:rsidRPr="00491993" w:rsidRDefault="005C1DB0" w:rsidP="00B468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1DB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 и инжењеринг</w:t>
            </w:r>
          </w:p>
        </w:tc>
        <w:tc>
          <w:tcPr>
            <w:tcW w:w="1950" w:type="dxa"/>
            <w:shd w:val="clear" w:color="auto" w:fill="auto"/>
          </w:tcPr>
          <w:p w:rsidR="00B46818" w:rsidRPr="00076287" w:rsidRDefault="00B46818" w:rsidP="00B46818">
            <w:r>
              <w:t>МАС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Операциона истраживања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>
              <w:t>ОАС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Напредна статистика у науци о здрављу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Здравство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 w:rsidRPr="00076287">
              <w:t>ОАС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Увод у математику за инжењере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 и инжењеринг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 w:rsidRPr="00076287">
              <w:t>ОАС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Виша математика за инжењере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 и инжењеринг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 w:rsidRPr="00076287">
              <w:t>ОАС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Програмирање са Matlab-ом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 и инжењеринг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 w:rsidRPr="00076287">
              <w:t>ОАС</w:t>
            </w:r>
          </w:p>
        </w:tc>
      </w:tr>
      <w:tr w:rsidR="005C1DB0" w:rsidRPr="00491993" w:rsidTr="00EC5FB0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Примењени (економетријски) пројекти са студентима „Рачунарске науке у инжењерству“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1DB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 и инжењеринг</w:t>
            </w:r>
          </w:p>
        </w:tc>
        <w:tc>
          <w:tcPr>
            <w:tcW w:w="1950" w:type="dxa"/>
            <w:shd w:val="clear" w:color="auto" w:fill="auto"/>
          </w:tcPr>
          <w:p w:rsidR="005C1DB0" w:rsidRPr="00076287" w:rsidRDefault="005C1DB0" w:rsidP="005C1DB0">
            <w:r>
              <w:t>МАС</w:t>
            </w:r>
          </w:p>
        </w:tc>
      </w:tr>
      <w:tr w:rsidR="005C1DB0" w:rsidRPr="00491993" w:rsidTr="004D1A7D">
        <w:trPr>
          <w:trHeight w:val="427"/>
        </w:trPr>
        <w:tc>
          <w:tcPr>
            <w:tcW w:w="818" w:type="dxa"/>
            <w:shd w:val="clear" w:color="auto" w:fill="auto"/>
            <w:vAlign w:val="center"/>
          </w:tcPr>
          <w:p w:rsidR="005C1DB0" w:rsidRPr="005C1DB0" w:rsidRDefault="005C1DB0" w:rsidP="005C1DB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1DB0">
              <w:rPr>
                <w:rFonts w:ascii="Times New Roman" w:hAnsi="Times New Roman"/>
                <w:sz w:val="20"/>
                <w:szCs w:val="20"/>
                <w:lang w:val="sr-Cyrl-CS"/>
              </w:rPr>
              <w:t>ADA06</w:t>
            </w:r>
          </w:p>
        </w:tc>
        <w:tc>
          <w:tcPr>
            <w:tcW w:w="3158" w:type="dxa"/>
            <w:gridSpan w:val="6"/>
            <w:shd w:val="clear" w:color="auto" w:fill="auto"/>
          </w:tcPr>
          <w:p w:rsidR="005C1DB0" w:rsidRPr="00F02455" w:rsidRDefault="005C1DB0" w:rsidP="005C1DB0">
            <w:r w:rsidRPr="00F02455">
              <w:t>Временске серије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5C1DB0" w:rsidRPr="004D1A7D" w:rsidRDefault="004D1A7D" w:rsidP="004D1A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 вежбе</w:t>
            </w:r>
            <w:bookmarkStart w:id="0" w:name="_GoBack"/>
            <w:bookmarkEnd w:id="0"/>
          </w:p>
        </w:tc>
        <w:tc>
          <w:tcPr>
            <w:tcW w:w="1917" w:type="dxa"/>
            <w:gridSpan w:val="2"/>
            <w:shd w:val="clear" w:color="auto" w:fill="auto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950" w:type="dxa"/>
            <w:shd w:val="clear" w:color="auto" w:fill="auto"/>
          </w:tcPr>
          <w:p w:rsidR="005C1DB0" w:rsidRDefault="005C1DB0" w:rsidP="005C1DB0">
            <w:r>
              <w:t>МАС</w:t>
            </w:r>
          </w:p>
        </w:tc>
      </w:tr>
      <w:tr w:rsidR="005C1DB0" w:rsidRPr="00491993" w:rsidTr="00B46818">
        <w:trPr>
          <w:trHeight w:val="427"/>
        </w:trPr>
        <w:tc>
          <w:tcPr>
            <w:tcW w:w="10654" w:type="dxa"/>
            <w:gridSpan w:val="15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Herwartz H, Schlüter S (2017). On the predicitive information of futures' prices - a wavelet based assessment. Journal of Forecasting; 36(4); 345-356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Hanfeld M, Schlueter S (2017). Operating a swing option on today's gas markets - how least squares Monte Carlo works and why it is beneficial. Zeitschrift fuer Energiewirtschaft; 2;137-145.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Schlueter S, Deuschle C (2014). Wavelet-based forecasting of ARIMA time series – an empirical comparison of different methods. Managerial Economics; 15(1); 107-131.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Schlueter S, Fischer M (2011). The weak tail dependence coefficient of the elliptical generalized hyperbolic distribution. Extremes April 2011; 1-16.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Schlueter S (2010). A long-term/short-term model for daily electricity prices with dynamic volatility. Energy Economics; 32(5); 1074-1081.</w:t>
            </w:r>
          </w:p>
        </w:tc>
      </w:tr>
      <w:tr w:rsidR="005C1DB0" w:rsidRPr="00491993" w:rsidTr="005A2A1A">
        <w:trPr>
          <w:trHeight w:val="427"/>
        </w:trPr>
        <w:tc>
          <w:tcPr>
            <w:tcW w:w="1656" w:type="dxa"/>
            <w:gridSpan w:val="2"/>
            <w:vAlign w:val="center"/>
          </w:tcPr>
          <w:p w:rsidR="005C1DB0" w:rsidRPr="00491993" w:rsidRDefault="005C1DB0" w:rsidP="005C1DB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5C1DB0" w:rsidRPr="00426A6C" w:rsidRDefault="005C1DB0" w:rsidP="005C1DB0">
            <w:r w:rsidRPr="00426A6C">
              <w:t>Fischer M, Koeck C, Schlueter S, Weigert F (2009). An empirical analysis of multivariate copula models. Quantitative Finance; 9(7); 839-854.</w:t>
            </w:r>
          </w:p>
        </w:tc>
      </w:tr>
      <w:tr w:rsidR="005C1DB0" w:rsidRPr="00491993" w:rsidTr="00B46818">
        <w:trPr>
          <w:trHeight w:val="427"/>
        </w:trPr>
        <w:tc>
          <w:tcPr>
            <w:tcW w:w="10654" w:type="dxa"/>
            <w:gridSpan w:val="15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C1DB0" w:rsidRPr="00491993" w:rsidTr="00B46818">
        <w:trPr>
          <w:trHeight w:val="427"/>
        </w:trPr>
        <w:tc>
          <w:tcPr>
            <w:tcW w:w="4663" w:type="dxa"/>
            <w:gridSpan w:val="7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1" w:type="dxa"/>
            <w:gridSpan w:val="8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250</w:t>
            </w:r>
          </w:p>
        </w:tc>
      </w:tr>
      <w:tr w:rsidR="005C1DB0" w:rsidRPr="00491993" w:rsidTr="00B46818">
        <w:trPr>
          <w:trHeight w:val="427"/>
        </w:trPr>
        <w:tc>
          <w:tcPr>
            <w:tcW w:w="4663" w:type="dxa"/>
            <w:gridSpan w:val="7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1" w:type="dxa"/>
            <w:gridSpan w:val="8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</w:tr>
      <w:tr w:rsidR="005C1DB0" w:rsidRPr="00491993" w:rsidTr="00B46818">
        <w:trPr>
          <w:trHeight w:val="278"/>
        </w:trPr>
        <w:tc>
          <w:tcPr>
            <w:tcW w:w="4663" w:type="dxa"/>
            <w:gridSpan w:val="7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38" w:type="dxa"/>
            <w:gridSpan w:val="4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053" w:type="dxa"/>
            <w:gridSpan w:val="4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C1DB0" w:rsidRPr="00491993" w:rsidTr="00B46818">
        <w:trPr>
          <w:trHeight w:val="427"/>
        </w:trPr>
        <w:tc>
          <w:tcPr>
            <w:tcW w:w="2377" w:type="dxa"/>
            <w:gridSpan w:val="4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77" w:type="dxa"/>
            <w:gridSpan w:val="11"/>
            <w:vAlign w:val="center"/>
          </w:tcPr>
          <w:p w:rsidR="005C1DB0" w:rsidRPr="00491993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1DB0" w:rsidRPr="00491993" w:rsidTr="00B46818">
        <w:trPr>
          <w:trHeight w:val="427"/>
        </w:trPr>
        <w:tc>
          <w:tcPr>
            <w:tcW w:w="10654" w:type="dxa"/>
            <w:gridSpan w:val="15"/>
            <w:vAlign w:val="center"/>
          </w:tcPr>
          <w:p w:rsidR="005C1DB0" w:rsidRDefault="005C1DB0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FB1576" w:rsidRDefault="00FB1576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Оснивач и директор локалног института за науку о подацима</w:t>
            </w:r>
          </w:p>
          <w:p w:rsidR="00FB1576" w:rsidRPr="00FB1576" w:rsidRDefault="00FB1576" w:rsidP="005C1D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Локална контакт особа и координатор за школарине Конрад Аденауер фондације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F7FCB"/>
    <w:multiLevelType w:val="hybridMultilevel"/>
    <w:tmpl w:val="D0E80F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9362F"/>
    <w:rsid w:val="001E4FCA"/>
    <w:rsid w:val="00444B06"/>
    <w:rsid w:val="004D1A7D"/>
    <w:rsid w:val="00521E33"/>
    <w:rsid w:val="005C1DB0"/>
    <w:rsid w:val="0062186D"/>
    <w:rsid w:val="007064B1"/>
    <w:rsid w:val="00712E7E"/>
    <w:rsid w:val="00870D94"/>
    <w:rsid w:val="008A1FAA"/>
    <w:rsid w:val="00B46818"/>
    <w:rsid w:val="00C43A91"/>
    <w:rsid w:val="00C953E5"/>
    <w:rsid w:val="00F76E94"/>
    <w:rsid w:val="00FB1576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9</cp:revision>
  <dcterms:created xsi:type="dcterms:W3CDTF">2021-01-05T08:27:00Z</dcterms:created>
  <dcterms:modified xsi:type="dcterms:W3CDTF">2021-01-27T10:57:00Z</dcterms:modified>
</cp:coreProperties>
</file>