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C66DA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</w:t>
            </w:r>
            <w:r w:rsidRP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 :</w:t>
            </w:r>
            <w:r w:rsidR="00C66DAE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C66DA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</w:rPr>
              <w:t>Академско писање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66DAE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Дејан Брцанов, Стојанка Дакић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66DAE" w:rsidRP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C66D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C66DAE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66D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 је да студент развије вештину писања истраживачких радова и других академских текстова.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C66DAE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66DA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разуме принципе истраживања, зна да напише истраживачко питање, хипотезу и циљ истраживања, уме да препозна адекватну литературу и направи њен преглед, има способност приступања, анализи и екстрактовању информација из релевантних извора података, уме да напише предлог истраживања.</w:t>
            </w:r>
          </w:p>
          <w:p w:rsidR="00E632A5" w:rsidRPr="00C66DA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DA7B2F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DA7B2F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 w:rsidR="00DA7B2F">
              <w:rPr>
                <w:rFonts w:ascii="Times New Roman" w:hAnsi="Times New Roman"/>
                <w:i/>
                <w:iCs/>
                <w:sz w:val="20"/>
                <w:szCs w:val="20"/>
              </w:rPr>
              <w:t>по недељама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1. недеља: Увод у академско писање и принципе истраживања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2. недеља: Дефинисање </w:t>
            </w:r>
            <w:r w:rsidRPr="00EA4645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истраживачког питања, хипотезе и циља истраживања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3-4. недеља: Литература: избор, развијање критичког мишљења, навођење извора и различити стилови референцирања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5-6 недеља: Формулација дизајна истраживања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7-8. недеља: Извори података: приступ базама, креирање упитника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9-11. недеља: Анализа квантитативних података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>12. недеља: Анализа квалитативних података</w:t>
            </w:r>
          </w:p>
          <w:p w:rsidR="001C1AB2" w:rsidRPr="00EA4645" w:rsidRDefault="001C1AB2" w:rsidP="001C1AB2">
            <w:pP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</w:pPr>
            <w:r w:rsidRPr="00EA4645">
              <w:rPr>
                <w:rFonts w:ascii="Times New Roman" w:hAnsi="Times New Roman"/>
                <w:i/>
                <w:sz w:val="20"/>
                <w:szCs w:val="20"/>
              </w:rPr>
              <w:t xml:space="preserve">13-15. недеља: Писање и презентовање радова </w:t>
            </w:r>
          </w:p>
          <w:p w:rsidR="001C1AB2" w:rsidRPr="00092214" w:rsidRDefault="001C1AB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DA7B2F" w:rsidRPr="00092214" w:rsidRDefault="00DA7B2F" w:rsidP="00DA7B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DA7B2F" w:rsidRPr="00092214" w:rsidRDefault="00DA7B2F" w:rsidP="00DA7B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66DAE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Дискусија тема са предавања, индивидуална припрема за израду мастер тезе.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C66DAE" w:rsidRPr="001A0288" w:rsidRDefault="00C66DAE" w:rsidP="001A028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Bryman, A. &amp; Bell, E. (2011). Business Research Methods - Third Edition. Oxford University Press Inc., New York, USA.</w:t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C66DAE" w:rsidRPr="001A0288" w:rsidRDefault="00C66DAE" w:rsidP="001A028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Saunders, M., Lewis, P., Thornhill, A. (2007). Research Methods for Business Students - 4th Edition. Pearson Education, Harlow, England.</w:t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C66DAE" w:rsidRPr="001A0288" w:rsidRDefault="00C66DAE" w:rsidP="001A028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Salkind, N.J. (2018). Exploring research - 9th Edition. Pearson Education, Harlow, England.</w:t>
            </w:r>
          </w:p>
          <w:p w:rsidR="00E632A5" w:rsidRPr="001A0288" w:rsidRDefault="00C66DAE" w:rsidP="001A028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Swales, J.M. &amp; Feak, C.B. (2012). Academic writing for graduate students: essential tasks and skills - 3rd Edition.The University of Michigan Press, USA.</w:t>
            </w:r>
            <w:r w:rsidRPr="001A02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1A028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C66D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C66DA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DA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дискусије, израда писаних радова на теме са предавања.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1A0288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1A0288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1A0288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1A0288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60" w:type="dxa"/>
            <w:vAlign w:val="center"/>
          </w:tcPr>
          <w:p w:rsidR="00E632A5" w:rsidRPr="00092214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1A0288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C66DAE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511FE"/>
    <w:multiLevelType w:val="hybridMultilevel"/>
    <w:tmpl w:val="C2E0A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1A0288"/>
    <w:rsid w:val="001C1AB2"/>
    <w:rsid w:val="0062186D"/>
    <w:rsid w:val="008A1FAA"/>
    <w:rsid w:val="00C66DAE"/>
    <w:rsid w:val="00DA7B2F"/>
    <w:rsid w:val="00E632A5"/>
    <w:rsid w:val="00EA464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86C06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3</cp:revision>
  <dcterms:created xsi:type="dcterms:W3CDTF">2021-01-13T21:41:00Z</dcterms:created>
  <dcterms:modified xsi:type="dcterms:W3CDTF">2021-01-13T21:43:00Z</dcterms:modified>
</cp:coreProperties>
</file>