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092214" w:rsidRDefault="00BD5AD4" w:rsidP="000A1EE5">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w:t>
            </w:r>
            <w:r w:rsidR="000A1EE5">
              <w:t xml:space="preserve"> </w:t>
            </w:r>
            <w:r w:rsidR="000A1EE5" w:rsidRPr="000A1EE5">
              <w:rPr>
                <w:rFonts w:ascii="Times New Roman" w:hAnsi="Times New Roman"/>
                <w:b/>
                <w:bCs/>
                <w:sz w:val="20"/>
                <w:szCs w:val="20"/>
                <w:lang w:val="sr-Cyrl-CS"/>
              </w:rPr>
              <w:t>Advanced Data Analytics in Business</w:t>
            </w:r>
          </w:p>
        </w:tc>
      </w:tr>
      <w:tr w:rsidR="00E632A5" w:rsidRPr="00092214" w:rsidTr="003B65CD">
        <w:trPr>
          <w:trHeight w:val="227"/>
          <w:jc w:val="center"/>
        </w:trPr>
        <w:tc>
          <w:tcPr>
            <w:tcW w:w="9573" w:type="dxa"/>
            <w:gridSpan w:val="5"/>
            <w:vAlign w:val="center"/>
          </w:tcPr>
          <w:p w:rsidR="00E632A5" w:rsidRPr="000A1EE5"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0A1EE5">
              <w:rPr>
                <w:rFonts w:ascii="Times New Roman" w:hAnsi="Times New Roman"/>
                <w:b/>
                <w:bCs/>
                <w:sz w:val="20"/>
                <w:szCs w:val="20"/>
                <w:lang w:val="en-GB"/>
              </w:rPr>
              <w:t>Advanced Econometrics</w:t>
            </w:r>
          </w:p>
        </w:tc>
      </w:tr>
      <w:tr w:rsidR="00E632A5" w:rsidRPr="00092214" w:rsidTr="003B65CD">
        <w:trPr>
          <w:trHeight w:val="227"/>
          <w:jc w:val="center"/>
        </w:trPr>
        <w:tc>
          <w:tcPr>
            <w:tcW w:w="9573" w:type="dxa"/>
            <w:gridSpan w:val="5"/>
            <w:vAlign w:val="center"/>
          </w:tcPr>
          <w:p w:rsidR="00E632A5" w:rsidRPr="000A1EE5" w:rsidRDefault="00BD5AD4" w:rsidP="008D0B52">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0A1EE5">
              <w:rPr>
                <w:rFonts w:ascii="Times New Roman" w:hAnsi="Times New Roman"/>
                <w:b/>
                <w:bCs/>
                <w:sz w:val="20"/>
                <w:szCs w:val="20"/>
                <w:lang w:val="en-GB"/>
              </w:rPr>
              <w:t xml:space="preserve"> </w:t>
            </w:r>
            <w:bookmarkStart w:id="0" w:name="_GoBack"/>
            <w:bookmarkEnd w:id="0"/>
            <w:r w:rsidR="000A1EE5">
              <w:rPr>
                <w:rFonts w:ascii="Times New Roman" w:hAnsi="Times New Roman"/>
                <w:b/>
                <w:bCs/>
                <w:sz w:val="20"/>
                <w:szCs w:val="20"/>
                <w:lang w:val="sr-Latn-RS"/>
              </w:rPr>
              <w:t>Boris Radovanov</w:t>
            </w:r>
          </w:p>
        </w:tc>
      </w:tr>
      <w:tr w:rsidR="00E632A5" w:rsidRPr="00092214" w:rsidTr="003B65CD">
        <w:trPr>
          <w:trHeight w:val="227"/>
          <w:jc w:val="center"/>
        </w:trPr>
        <w:tc>
          <w:tcPr>
            <w:tcW w:w="9573" w:type="dxa"/>
            <w:gridSpan w:val="5"/>
            <w:vAlign w:val="center"/>
          </w:tcPr>
          <w:p w:rsidR="00E632A5" w:rsidRPr="000A1EE5"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0A1EE5">
              <w:rPr>
                <w:rFonts w:ascii="Times New Roman" w:hAnsi="Times New Roman"/>
                <w:b/>
                <w:bCs/>
                <w:sz w:val="20"/>
                <w:szCs w:val="20"/>
                <w:lang w:val="en-GB"/>
              </w:rPr>
              <w:t xml:space="preserve"> Elective</w:t>
            </w:r>
          </w:p>
        </w:tc>
      </w:tr>
      <w:tr w:rsidR="00E632A5" w:rsidRPr="00092214" w:rsidTr="003B65CD">
        <w:trPr>
          <w:trHeight w:val="227"/>
          <w:jc w:val="center"/>
        </w:trPr>
        <w:tc>
          <w:tcPr>
            <w:tcW w:w="9573" w:type="dxa"/>
            <w:gridSpan w:val="5"/>
            <w:vAlign w:val="center"/>
          </w:tcPr>
          <w:p w:rsidR="00E632A5" w:rsidRPr="000A1EE5"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0A1EE5">
              <w:rPr>
                <w:rFonts w:ascii="Times New Roman" w:hAnsi="Times New Roman"/>
                <w:b/>
                <w:bCs/>
                <w:sz w:val="20"/>
                <w:szCs w:val="20"/>
                <w:lang w:val="en-GB"/>
              </w:rPr>
              <w:t xml:space="preserve"> 7</w:t>
            </w:r>
          </w:p>
        </w:tc>
      </w:tr>
      <w:tr w:rsidR="00E632A5" w:rsidRPr="00092214" w:rsidTr="003B65CD">
        <w:trPr>
          <w:trHeight w:val="227"/>
          <w:jc w:val="center"/>
        </w:trPr>
        <w:tc>
          <w:tcPr>
            <w:tcW w:w="9573" w:type="dxa"/>
            <w:gridSpan w:val="5"/>
            <w:vAlign w:val="center"/>
          </w:tcPr>
          <w:p w:rsidR="00E632A5" w:rsidRPr="000A1EE5"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0A1EE5">
              <w:rPr>
                <w:rFonts w:ascii="Times New Roman" w:hAnsi="Times New Roman"/>
                <w:b/>
                <w:bCs/>
                <w:sz w:val="20"/>
                <w:szCs w:val="20"/>
                <w:lang w:val="en-GB"/>
              </w:rPr>
              <w:t xml:space="preserve"> None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2440AA" w:rsidRDefault="000A1EE5" w:rsidP="003B65CD">
            <w:pPr>
              <w:tabs>
                <w:tab w:val="left" w:pos="567"/>
              </w:tabs>
              <w:spacing w:after="60"/>
              <w:rPr>
                <w:rFonts w:ascii="Times New Roman" w:hAnsi="Times New Roman"/>
                <w:bCs/>
                <w:sz w:val="20"/>
                <w:szCs w:val="20"/>
                <w:lang w:val="en-GB"/>
              </w:rPr>
            </w:pPr>
            <w:r w:rsidRPr="002440AA">
              <w:rPr>
                <w:rFonts w:ascii="Times New Roman" w:hAnsi="Times New Roman"/>
                <w:bCs/>
                <w:sz w:val="20"/>
                <w:szCs w:val="20"/>
                <w:lang w:val="en-GB"/>
              </w:rPr>
              <w:t xml:space="preserve">Introduction of students with different methods of advanced econometric analysis, topics and methods of modern econometric analysis used in advanced data analytics and data science, training for independent empirical research. New knowledge in the field of assessment, testing and interpretation of econometric models of different kinds with use of econometric software. As software </w:t>
            </w:r>
            <w:r w:rsidR="002440AA" w:rsidRPr="002440AA">
              <w:rPr>
                <w:rFonts w:ascii="Times New Roman" w:hAnsi="Times New Roman"/>
                <w:bCs/>
                <w:sz w:val="20"/>
                <w:szCs w:val="20"/>
                <w:lang w:val="en-GB"/>
              </w:rPr>
              <w:t>support,</w:t>
            </w:r>
            <w:r w:rsidRPr="002440AA">
              <w:rPr>
                <w:rFonts w:ascii="Times New Roman" w:hAnsi="Times New Roman"/>
                <w:bCs/>
                <w:sz w:val="20"/>
                <w:szCs w:val="20"/>
                <w:lang w:val="en-GB"/>
              </w:rPr>
              <w:t xml:space="preserve"> we are using GRETLS, EVIEWS and R language.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2440AA" w:rsidRDefault="000A1EE5" w:rsidP="000A1EE5">
            <w:pPr>
              <w:tabs>
                <w:tab w:val="left" w:pos="567"/>
              </w:tabs>
              <w:spacing w:after="60"/>
              <w:rPr>
                <w:rFonts w:ascii="Times New Roman" w:hAnsi="Times New Roman"/>
                <w:sz w:val="20"/>
                <w:szCs w:val="20"/>
                <w:lang w:val="sr-Cyrl-CS"/>
              </w:rPr>
            </w:pPr>
            <w:r w:rsidRPr="002440AA">
              <w:rPr>
                <w:rFonts w:ascii="Times New Roman" w:hAnsi="Times New Roman"/>
                <w:bCs/>
                <w:sz w:val="20"/>
                <w:szCs w:val="20"/>
                <w:lang w:val="sr-Cyrl-CS"/>
              </w:rPr>
              <w:t>Student is capable to identify the economic problem, to define adequate sample and to choose the best econometric model and implementing it with use of econometric software, and on the basis of obtained results</w:t>
            </w:r>
            <w:r w:rsidRPr="002440AA">
              <w:rPr>
                <w:rFonts w:ascii="Times New Roman" w:hAnsi="Times New Roman"/>
                <w:bCs/>
                <w:sz w:val="20"/>
                <w:szCs w:val="20"/>
                <w:lang w:val="en-GB"/>
              </w:rPr>
              <w:t xml:space="preserve"> to make conclusions and interpret the results.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E632A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 xml:space="preserve">1-3. </w:t>
            </w:r>
            <w:proofErr w:type="spellStart"/>
            <w:r>
              <w:rPr>
                <w:rFonts w:ascii="Times New Roman" w:hAnsi="Times New Roman"/>
                <w:i/>
                <w:iCs/>
                <w:sz w:val="20"/>
                <w:szCs w:val="20"/>
                <w:lang w:val="en-GB"/>
              </w:rPr>
              <w:t>Repetitorium</w:t>
            </w:r>
            <w:proofErr w:type="spellEnd"/>
            <w:r>
              <w:rPr>
                <w:rFonts w:ascii="Times New Roman" w:hAnsi="Times New Roman"/>
                <w:i/>
                <w:iCs/>
                <w:sz w:val="20"/>
                <w:szCs w:val="20"/>
                <w:lang w:val="en-GB"/>
              </w:rPr>
              <w:t xml:space="preserve"> of basic topics in econometrics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3-4. Non-linear regression functions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5. Panel models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6. Instrumental variables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7. Experiments and quasi experiments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 xml:space="preserve">8. </w:t>
            </w:r>
            <w:r w:rsidR="002440AA">
              <w:rPr>
                <w:rFonts w:ascii="Times New Roman" w:hAnsi="Times New Roman"/>
                <w:i/>
                <w:iCs/>
                <w:sz w:val="20"/>
                <w:szCs w:val="20"/>
                <w:lang w:val="en-GB"/>
              </w:rPr>
              <w:t>Binomial</w:t>
            </w:r>
            <w:r>
              <w:rPr>
                <w:rFonts w:ascii="Times New Roman" w:hAnsi="Times New Roman"/>
                <w:i/>
                <w:iCs/>
                <w:sz w:val="20"/>
                <w:szCs w:val="20"/>
                <w:lang w:val="en-GB"/>
              </w:rPr>
              <w:t xml:space="preserve"> logistic regression</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9. Multinomial logistic regression</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10. Logistic regression with ranks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11. Models with counting data</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12. Survival analysis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13. Spatial analysis</w:t>
            </w:r>
          </w:p>
          <w:p w:rsid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 xml:space="preserve">14. </w:t>
            </w:r>
            <w:proofErr w:type="spellStart"/>
            <w:r>
              <w:rPr>
                <w:rFonts w:ascii="Times New Roman" w:hAnsi="Times New Roman"/>
                <w:i/>
                <w:iCs/>
                <w:sz w:val="20"/>
                <w:szCs w:val="20"/>
                <w:lang w:val="en-GB"/>
              </w:rPr>
              <w:t>Tobit</w:t>
            </w:r>
            <w:proofErr w:type="spellEnd"/>
            <w:r>
              <w:rPr>
                <w:rFonts w:ascii="Times New Roman" w:hAnsi="Times New Roman"/>
                <w:i/>
                <w:iCs/>
                <w:sz w:val="20"/>
                <w:szCs w:val="20"/>
                <w:lang w:val="en-GB"/>
              </w:rPr>
              <w:t xml:space="preserve"> and </w:t>
            </w:r>
            <w:proofErr w:type="spellStart"/>
            <w:r>
              <w:rPr>
                <w:rFonts w:ascii="Times New Roman" w:hAnsi="Times New Roman"/>
                <w:i/>
                <w:iCs/>
                <w:sz w:val="20"/>
                <w:szCs w:val="20"/>
                <w:lang w:val="en-GB"/>
              </w:rPr>
              <w:t>Heckit</w:t>
            </w:r>
            <w:proofErr w:type="spellEnd"/>
            <w:r>
              <w:rPr>
                <w:rFonts w:ascii="Times New Roman" w:hAnsi="Times New Roman"/>
                <w:i/>
                <w:iCs/>
                <w:sz w:val="20"/>
                <w:szCs w:val="20"/>
                <w:lang w:val="en-GB"/>
              </w:rPr>
              <w:t xml:space="preserve"> models</w:t>
            </w:r>
          </w:p>
          <w:p w:rsidR="000A1EE5" w:rsidRPr="000A1EE5" w:rsidRDefault="000A1EE5"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15. Time series analysis</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0A1EE5" w:rsidP="003B65CD">
            <w:pPr>
              <w:tabs>
                <w:tab w:val="left" w:pos="567"/>
              </w:tabs>
              <w:spacing w:after="60"/>
              <w:rPr>
                <w:rFonts w:ascii="Times New Roman" w:hAnsi="Times New Roman"/>
                <w:i/>
                <w:iCs/>
                <w:sz w:val="20"/>
                <w:szCs w:val="20"/>
                <w:lang w:val="sr-Cyrl-CS"/>
              </w:rPr>
            </w:pPr>
            <w:r w:rsidRPr="000A1EE5">
              <w:rPr>
                <w:rFonts w:ascii="Times New Roman" w:hAnsi="Times New Roman"/>
                <w:i/>
                <w:iCs/>
                <w:sz w:val="20"/>
                <w:szCs w:val="20"/>
                <w:lang w:val="sr-Cyrl-CS"/>
              </w:rPr>
              <w:t>Work on practical tasks, writing of seminar paper on the basis of theoretical topics and learning econometric software in computer lab.</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0A1EE5" w:rsidRPr="003D00EF" w:rsidRDefault="000A1EE5" w:rsidP="000A1EE5">
            <w:pPr>
              <w:pStyle w:val="ListParagraph"/>
              <w:numPr>
                <w:ilvl w:val="0"/>
                <w:numId w:val="1"/>
              </w:numPr>
              <w:tabs>
                <w:tab w:val="left" w:pos="567"/>
              </w:tabs>
              <w:spacing w:after="60"/>
              <w:rPr>
                <w:rFonts w:ascii="Times New Roman" w:hAnsi="Times New Roman"/>
                <w:bCs/>
                <w:sz w:val="20"/>
                <w:szCs w:val="20"/>
                <w:lang w:val="sr-Cyrl-CS"/>
              </w:rPr>
            </w:pPr>
            <w:r w:rsidRPr="003D00EF">
              <w:rPr>
                <w:rFonts w:ascii="Times New Roman" w:hAnsi="Times New Roman"/>
                <w:bCs/>
                <w:sz w:val="20"/>
                <w:szCs w:val="20"/>
                <w:lang w:val="sr-Cyrl-CS"/>
              </w:rPr>
              <w:t>Stock, J. &amp; Watson, M. (2015). Introduction to Econometrics, 3rd edition. Pearson Education, Inc.</w:t>
            </w:r>
            <w:r w:rsidRPr="003D00EF">
              <w:rPr>
                <w:rFonts w:ascii="Times New Roman" w:hAnsi="Times New Roman"/>
                <w:bCs/>
                <w:sz w:val="20"/>
                <w:szCs w:val="20"/>
                <w:lang w:val="sr-Cyrl-CS"/>
              </w:rPr>
              <w:tab/>
            </w:r>
          </w:p>
          <w:p w:rsidR="000A1EE5" w:rsidRPr="003D00EF" w:rsidRDefault="000A1EE5" w:rsidP="000A1EE5">
            <w:pPr>
              <w:pStyle w:val="ListParagraph"/>
              <w:numPr>
                <w:ilvl w:val="0"/>
                <w:numId w:val="1"/>
              </w:numPr>
              <w:tabs>
                <w:tab w:val="left" w:pos="567"/>
              </w:tabs>
              <w:spacing w:after="60"/>
              <w:rPr>
                <w:rFonts w:ascii="Times New Roman" w:hAnsi="Times New Roman"/>
                <w:bCs/>
                <w:sz w:val="20"/>
                <w:szCs w:val="20"/>
                <w:lang w:val="sr-Cyrl-CS"/>
              </w:rPr>
            </w:pPr>
            <w:r w:rsidRPr="003D00EF">
              <w:rPr>
                <w:rFonts w:ascii="Times New Roman" w:hAnsi="Times New Roman"/>
                <w:bCs/>
                <w:sz w:val="20"/>
                <w:szCs w:val="20"/>
                <w:lang w:val="sr-Cyrl-CS"/>
              </w:rPr>
              <w:t>G.S. Maddala: Introduction to econometrics, John Wiley &amp; Sons, 3rd edition, 2001.</w:t>
            </w:r>
            <w:r w:rsidRPr="003D00EF">
              <w:rPr>
                <w:rFonts w:ascii="Times New Roman" w:hAnsi="Times New Roman"/>
                <w:bCs/>
                <w:sz w:val="20"/>
                <w:szCs w:val="20"/>
                <w:lang w:val="sr-Cyrl-CS"/>
              </w:rPr>
              <w:tab/>
            </w:r>
            <w:r w:rsidRPr="003D00EF">
              <w:rPr>
                <w:rFonts w:ascii="Times New Roman" w:hAnsi="Times New Roman"/>
                <w:bCs/>
                <w:sz w:val="20"/>
                <w:szCs w:val="20"/>
                <w:lang w:val="sr-Cyrl-CS"/>
              </w:rPr>
              <w:tab/>
            </w:r>
          </w:p>
          <w:p w:rsidR="000A1EE5" w:rsidRPr="003D00EF" w:rsidRDefault="000A1EE5" w:rsidP="000A1EE5">
            <w:pPr>
              <w:pStyle w:val="ListParagraph"/>
              <w:numPr>
                <w:ilvl w:val="0"/>
                <w:numId w:val="1"/>
              </w:numPr>
              <w:tabs>
                <w:tab w:val="left" w:pos="567"/>
              </w:tabs>
              <w:spacing w:after="60"/>
              <w:rPr>
                <w:rFonts w:ascii="Times New Roman" w:hAnsi="Times New Roman"/>
                <w:bCs/>
                <w:sz w:val="20"/>
                <w:szCs w:val="20"/>
                <w:lang w:val="sr-Cyrl-CS"/>
              </w:rPr>
            </w:pPr>
            <w:r w:rsidRPr="003D00EF">
              <w:rPr>
                <w:rFonts w:ascii="Times New Roman" w:hAnsi="Times New Roman"/>
                <w:bCs/>
                <w:sz w:val="20"/>
                <w:szCs w:val="20"/>
                <w:lang w:val="sr-Cyrl-CS"/>
              </w:rPr>
              <w:t>W.H.Greene: Econometric analysis, 5th ed., Prentice Hall, 2003.</w:t>
            </w:r>
            <w:r w:rsidRPr="003D00EF">
              <w:rPr>
                <w:rFonts w:ascii="Times New Roman" w:hAnsi="Times New Roman"/>
                <w:bCs/>
                <w:sz w:val="20"/>
                <w:szCs w:val="20"/>
                <w:lang w:val="sr-Cyrl-CS"/>
              </w:rPr>
              <w:tab/>
            </w:r>
            <w:r w:rsidRPr="003D00EF">
              <w:rPr>
                <w:rFonts w:ascii="Times New Roman" w:hAnsi="Times New Roman"/>
                <w:bCs/>
                <w:sz w:val="20"/>
                <w:szCs w:val="20"/>
                <w:lang w:val="sr-Cyrl-CS"/>
              </w:rPr>
              <w:tab/>
            </w:r>
            <w:r w:rsidRPr="003D00EF">
              <w:rPr>
                <w:rFonts w:ascii="Times New Roman" w:hAnsi="Times New Roman"/>
                <w:bCs/>
                <w:sz w:val="20"/>
                <w:szCs w:val="20"/>
                <w:lang w:val="sr-Cyrl-CS"/>
              </w:rPr>
              <w:tab/>
            </w:r>
          </w:p>
          <w:p w:rsidR="000A1EE5" w:rsidRDefault="000A1EE5" w:rsidP="000A1EE5">
            <w:pPr>
              <w:pStyle w:val="ListParagraph"/>
              <w:numPr>
                <w:ilvl w:val="0"/>
                <w:numId w:val="1"/>
              </w:numPr>
              <w:tabs>
                <w:tab w:val="left" w:pos="567"/>
              </w:tabs>
              <w:spacing w:after="60"/>
              <w:rPr>
                <w:rFonts w:ascii="Times New Roman" w:hAnsi="Times New Roman"/>
                <w:bCs/>
                <w:sz w:val="20"/>
                <w:szCs w:val="20"/>
                <w:lang w:val="sr-Cyrl-CS"/>
              </w:rPr>
            </w:pPr>
            <w:r w:rsidRPr="003D00EF">
              <w:rPr>
                <w:rFonts w:ascii="Times New Roman" w:hAnsi="Times New Roman"/>
                <w:bCs/>
                <w:sz w:val="20"/>
                <w:szCs w:val="20"/>
                <w:lang w:val="sr-Cyrl-CS"/>
              </w:rPr>
              <w:t xml:space="preserve">Baltagi, B. H., Econometrics, Springer, 2002 </w:t>
            </w:r>
            <w:r w:rsidRPr="003D00EF">
              <w:rPr>
                <w:rFonts w:ascii="Times New Roman" w:hAnsi="Times New Roman"/>
                <w:bCs/>
                <w:sz w:val="20"/>
                <w:szCs w:val="20"/>
                <w:lang w:val="sr-Cyrl-CS"/>
              </w:rPr>
              <w:tab/>
            </w:r>
            <w:r w:rsidRPr="003D00EF">
              <w:rPr>
                <w:rFonts w:ascii="Times New Roman" w:hAnsi="Times New Roman"/>
                <w:bCs/>
                <w:sz w:val="20"/>
                <w:szCs w:val="20"/>
                <w:lang w:val="sr-Cyrl-CS"/>
              </w:rPr>
              <w:tab/>
            </w:r>
            <w:r w:rsidRPr="003D00EF">
              <w:rPr>
                <w:rFonts w:ascii="Times New Roman" w:hAnsi="Times New Roman"/>
                <w:bCs/>
                <w:sz w:val="20"/>
                <w:szCs w:val="20"/>
                <w:lang w:val="sr-Cyrl-CS"/>
              </w:rPr>
              <w:tab/>
            </w:r>
          </w:p>
          <w:p w:rsidR="00E632A5" w:rsidRPr="00092214" w:rsidRDefault="000A1EE5" w:rsidP="000A1EE5">
            <w:pPr>
              <w:pStyle w:val="ListParagraph"/>
              <w:numPr>
                <w:ilvl w:val="0"/>
                <w:numId w:val="1"/>
              </w:numPr>
              <w:tabs>
                <w:tab w:val="left" w:pos="567"/>
              </w:tabs>
              <w:spacing w:after="60"/>
              <w:rPr>
                <w:rFonts w:ascii="Times New Roman" w:hAnsi="Times New Roman"/>
                <w:sz w:val="20"/>
                <w:szCs w:val="20"/>
                <w:lang w:val="sr-Cyrl-CS"/>
              </w:rPr>
            </w:pPr>
            <w:r w:rsidRPr="000A1EE5">
              <w:rPr>
                <w:rFonts w:ascii="Times New Roman" w:hAnsi="Times New Roman"/>
                <w:bCs/>
                <w:sz w:val="20"/>
                <w:szCs w:val="20"/>
                <w:lang w:val="sr-Cyrl-CS"/>
              </w:rPr>
              <w:t>Bingham, N.H., Fry, J.M., Regression (Linear models</w:t>
            </w:r>
            <w:r>
              <w:rPr>
                <w:rFonts w:ascii="Times New Roman" w:hAnsi="Times New Roman"/>
                <w:bCs/>
                <w:sz w:val="20"/>
                <w:szCs w:val="20"/>
                <w:lang w:val="sr-Cyrl-CS"/>
              </w:rPr>
              <w:t xml:space="preserve"> in Statistics), Springer, 2010</w:t>
            </w:r>
            <w:r>
              <w:rPr>
                <w:rFonts w:ascii="Times New Roman" w:hAnsi="Times New Roman"/>
                <w:bCs/>
                <w:sz w:val="20"/>
                <w:szCs w:val="20"/>
                <w:lang w:val="en-GB"/>
              </w:rPr>
              <w:t>.</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0A1EE5"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0A1EE5">
              <w:rPr>
                <w:rFonts w:ascii="Times New Roman" w:hAnsi="Times New Roman"/>
                <w:b/>
                <w:sz w:val="20"/>
                <w:szCs w:val="20"/>
                <w:lang w:val="en-GB"/>
              </w:rPr>
              <w:t xml:space="preserve"> 2</w:t>
            </w:r>
          </w:p>
        </w:tc>
        <w:tc>
          <w:tcPr>
            <w:tcW w:w="3292" w:type="dxa"/>
            <w:gridSpan w:val="2"/>
            <w:vAlign w:val="center"/>
          </w:tcPr>
          <w:p w:rsidR="00E632A5" w:rsidRPr="000A1EE5"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0A1EE5">
              <w:rPr>
                <w:rFonts w:ascii="Times New Roman" w:hAnsi="Times New Roman"/>
                <w:b/>
                <w:sz w:val="20"/>
                <w:szCs w:val="20"/>
                <w:lang w:val="en-GB"/>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0A1EE5" w:rsidP="003B65CD">
            <w:pPr>
              <w:tabs>
                <w:tab w:val="left" w:pos="567"/>
              </w:tabs>
              <w:spacing w:after="60"/>
              <w:rPr>
                <w:rFonts w:ascii="Times New Roman" w:hAnsi="Times New Roman"/>
                <w:sz w:val="20"/>
                <w:szCs w:val="20"/>
                <w:lang w:val="sr-Cyrl-CS"/>
              </w:rPr>
            </w:pPr>
            <w:r w:rsidRPr="000A1EE5">
              <w:rPr>
                <w:rFonts w:ascii="Times New Roman" w:hAnsi="Times New Roman"/>
                <w:sz w:val="20"/>
                <w:szCs w:val="20"/>
                <w:lang w:val="sr-Cyrl-CS"/>
              </w:rPr>
              <w:t>Lectures and exercises are conducted in the computer laboratory.</w:t>
            </w: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0A1EE5" w:rsidRPr="00092214" w:rsidTr="003B65CD">
        <w:trPr>
          <w:trHeight w:val="227"/>
          <w:jc w:val="center"/>
        </w:trPr>
        <w:tc>
          <w:tcPr>
            <w:tcW w:w="3146" w:type="dxa"/>
            <w:vAlign w:val="center"/>
          </w:tcPr>
          <w:p w:rsidR="000A1EE5" w:rsidRPr="00BD5AD4" w:rsidRDefault="000A1EE5" w:rsidP="000A1EE5">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0A1EE5" w:rsidRPr="00092214" w:rsidRDefault="000A1EE5" w:rsidP="000A1EE5">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rsidR="000A1EE5" w:rsidRPr="00BD5AD4" w:rsidRDefault="000A1EE5" w:rsidP="000A1EE5">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0A1EE5" w:rsidRPr="000A1EE5" w:rsidRDefault="000A1EE5" w:rsidP="000A1EE5">
            <w:pPr>
              <w:tabs>
                <w:tab w:val="left" w:pos="567"/>
              </w:tabs>
              <w:spacing w:after="60"/>
              <w:rPr>
                <w:rFonts w:ascii="Times New Roman" w:hAnsi="Times New Roman"/>
                <w:b/>
                <w:bCs/>
                <w:sz w:val="20"/>
                <w:szCs w:val="20"/>
                <w:lang w:val="sr-Cyrl-CS"/>
              </w:rPr>
            </w:pPr>
            <w:r w:rsidRPr="000A1EE5">
              <w:rPr>
                <w:rFonts w:ascii="Times New Roman" w:hAnsi="Times New Roman"/>
                <w:b/>
                <w:bCs/>
                <w:sz w:val="20"/>
                <w:szCs w:val="20"/>
                <w:lang w:val="sr-Cyrl-CS"/>
              </w:rPr>
              <w:t>15</w:t>
            </w:r>
          </w:p>
        </w:tc>
      </w:tr>
      <w:tr w:rsidR="000A1EE5" w:rsidRPr="00092214" w:rsidTr="003B65CD">
        <w:trPr>
          <w:trHeight w:val="227"/>
          <w:jc w:val="center"/>
        </w:trPr>
        <w:tc>
          <w:tcPr>
            <w:tcW w:w="3146" w:type="dxa"/>
            <w:vAlign w:val="center"/>
          </w:tcPr>
          <w:p w:rsidR="000A1EE5" w:rsidRPr="00BD5AD4" w:rsidRDefault="000A1EE5" w:rsidP="000A1EE5">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0A1EE5" w:rsidRPr="00092214" w:rsidRDefault="000A1EE5" w:rsidP="000A1EE5">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rsidR="000A1EE5" w:rsidRPr="00BD5AD4" w:rsidRDefault="000A1EE5" w:rsidP="000A1EE5">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0A1EE5" w:rsidRPr="000A1EE5" w:rsidRDefault="000A1EE5" w:rsidP="000A1EE5">
            <w:pPr>
              <w:tabs>
                <w:tab w:val="left" w:pos="567"/>
              </w:tabs>
              <w:spacing w:after="60"/>
              <w:rPr>
                <w:rFonts w:ascii="Times New Roman" w:hAnsi="Times New Roman"/>
                <w:b/>
                <w:bCs/>
                <w:sz w:val="20"/>
                <w:szCs w:val="20"/>
                <w:lang w:val="sr-Cyrl-CS"/>
              </w:rPr>
            </w:pPr>
            <w:r w:rsidRPr="000A1EE5">
              <w:rPr>
                <w:rFonts w:ascii="Times New Roman" w:hAnsi="Times New Roman"/>
                <w:b/>
                <w:bCs/>
                <w:sz w:val="20"/>
                <w:szCs w:val="20"/>
                <w:lang w:val="sr-Cyrl-CS"/>
              </w:rPr>
              <w:t>15</w:t>
            </w:r>
          </w:p>
        </w:tc>
      </w:tr>
      <w:tr w:rsidR="000A1EE5" w:rsidRPr="00092214" w:rsidTr="003B65CD">
        <w:trPr>
          <w:trHeight w:val="227"/>
          <w:jc w:val="center"/>
        </w:trPr>
        <w:tc>
          <w:tcPr>
            <w:tcW w:w="3146" w:type="dxa"/>
            <w:vAlign w:val="center"/>
          </w:tcPr>
          <w:p w:rsidR="000A1EE5" w:rsidRPr="00BD5AD4" w:rsidRDefault="000A1EE5" w:rsidP="000A1EE5">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 (2 colloquiums</w:t>
            </w:r>
            <w:r w:rsidR="00B42713">
              <w:rPr>
                <w:rFonts w:ascii="Times New Roman" w:hAnsi="Times New Roman"/>
                <w:sz w:val="20"/>
                <w:szCs w:val="20"/>
              </w:rPr>
              <w:t xml:space="preserve"> </w:t>
            </w:r>
            <w:r w:rsidR="00B42713">
              <w:rPr>
                <w:rFonts w:ascii="Times New Roman" w:hAnsi="Times New Roman"/>
                <w:sz w:val="20"/>
                <w:szCs w:val="20"/>
                <w:lang w:val="en-GB"/>
              </w:rPr>
              <w:t>times 20 points</w:t>
            </w:r>
            <w:r>
              <w:rPr>
                <w:rFonts w:ascii="Times New Roman" w:hAnsi="Times New Roman"/>
                <w:sz w:val="20"/>
                <w:szCs w:val="20"/>
                <w:lang w:val="en-GB"/>
              </w:rPr>
              <w:t>)</w:t>
            </w:r>
          </w:p>
        </w:tc>
        <w:tc>
          <w:tcPr>
            <w:tcW w:w="1960" w:type="dxa"/>
            <w:vAlign w:val="center"/>
          </w:tcPr>
          <w:p w:rsidR="000A1EE5" w:rsidRPr="00092214" w:rsidRDefault="000A1EE5" w:rsidP="000A1EE5">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40</w:t>
            </w:r>
          </w:p>
        </w:tc>
        <w:tc>
          <w:tcPr>
            <w:tcW w:w="3223" w:type="dxa"/>
            <w:gridSpan w:val="2"/>
            <w:shd w:val="clear" w:color="auto" w:fill="auto"/>
            <w:vAlign w:val="center"/>
          </w:tcPr>
          <w:p w:rsidR="000A1EE5" w:rsidRPr="00092214" w:rsidRDefault="000A1EE5" w:rsidP="000A1EE5">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0A1EE5" w:rsidRPr="00092214" w:rsidRDefault="000A1EE5" w:rsidP="000A1EE5">
            <w:pPr>
              <w:tabs>
                <w:tab w:val="left" w:pos="567"/>
              </w:tabs>
              <w:spacing w:after="60"/>
              <w:rPr>
                <w:rFonts w:ascii="Times New Roman" w:hAnsi="Times New Roman"/>
                <w:i/>
                <w:iCs/>
                <w:sz w:val="20"/>
                <w:szCs w:val="20"/>
                <w:lang w:val="sr-Cyrl-CS"/>
              </w:rPr>
            </w:pPr>
          </w:p>
        </w:tc>
      </w:tr>
      <w:tr w:rsidR="000A1EE5" w:rsidRPr="00092214" w:rsidTr="003B65CD">
        <w:trPr>
          <w:trHeight w:val="227"/>
          <w:jc w:val="center"/>
        </w:trPr>
        <w:tc>
          <w:tcPr>
            <w:tcW w:w="3146" w:type="dxa"/>
            <w:vAlign w:val="center"/>
          </w:tcPr>
          <w:p w:rsidR="000A1EE5" w:rsidRPr="00BD5AD4" w:rsidRDefault="000A1EE5" w:rsidP="000A1EE5">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0A1EE5" w:rsidRPr="00092214" w:rsidRDefault="000A1EE5" w:rsidP="000A1EE5">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20</w:t>
            </w:r>
          </w:p>
        </w:tc>
        <w:tc>
          <w:tcPr>
            <w:tcW w:w="3223" w:type="dxa"/>
            <w:gridSpan w:val="2"/>
            <w:shd w:val="clear" w:color="auto" w:fill="auto"/>
            <w:vAlign w:val="center"/>
          </w:tcPr>
          <w:p w:rsidR="000A1EE5" w:rsidRPr="00092214" w:rsidRDefault="000A1EE5" w:rsidP="000A1EE5">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0A1EE5" w:rsidRPr="00092214" w:rsidRDefault="000A1EE5" w:rsidP="000A1EE5">
            <w:pPr>
              <w:tabs>
                <w:tab w:val="left" w:pos="567"/>
              </w:tabs>
              <w:spacing w:after="60"/>
              <w:rPr>
                <w:rFonts w:ascii="Times New Roman" w:hAnsi="Times New Roman"/>
                <w:i/>
                <w:iCs/>
                <w:sz w:val="20"/>
                <w:szCs w:val="20"/>
                <w:lang w:val="sr-Cyrl-CS"/>
              </w:rPr>
            </w:pPr>
          </w:p>
        </w:tc>
      </w:tr>
    </w:tbl>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A274E"/>
    <w:multiLevelType w:val="hybridMultilevel"/>
    <w:tmpl w:val="31D29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A1EE5"/>
    <w:rsid w:val="00107449"/>
    <w:rsid w:val="002440AA"/>
    <w:rsid w:val="00277546"/>
    <w:rsid w:val="0062186D"/>
    <w:rsid w:val="008A1FAA"/>
    <w:rsid w:val="008D0B52"/>
    <w:rsid w:val="00B42713"/>
    <w:rsid w:val="00BD5AD4"/>
    <w:rsid w:val="00D3121F"/>
    <w:rsid w:val="00DE4F4D"/>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1E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6</cp:revision>
  <dcterms:created xsi:type="dcterms:W3CDTF">2021-01-02T15:25:00Z</dcterms:created>
  <dcterms:modified xsi:type="dcterms:W3CDTF">2021-01-27T11:22:00Z</dcterms:modified>
</cp:coreProperties>
</file>