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B25" w:rsidRPr="00440E1B" w:rsidRDefault="00E93B25" w:rsidP="00E93B25">
      <w:pPr>
        <w:jc w:val="both"/>
        <w:rPr>
          <w:sz w:val="22"/>
          <w:szCs w:val="22"/>
          <w:lang w:val="sr-Cyrl-CS"/>
        </w:rPr>
      </w:pPr>
      <w:r w:rsidRPr="00440E1B">
        <w:rPr>
          <w:b/>
          <w:sz w:val="22"/>
          <w:szCs w:val="22"/>
          <w:lang w:val="sr-Cyrl-CS"/>
        </w:rPr>
        <w:t>Прилог 6.</w:t>
      </w:r>
      <w:r w:rsidR="004D40BF">
        <w:rPr>
          <w:b/>
          <w:sz w:val="22"/>
          <w:szCs w:val="22"/>
        </w:rPr>
        <w:t>3</w:t>
      </w:r>
      <w:r w:rsidRPr="00440E1B">
        <w:rPr>
          <w:b/>
          <w:sz w:val="22"/>
          <w:szCs w:val="22"/>
          <w:lang w:val="sr-Cyrl-CS"/>
        </w:rPr>
        <w:t>.</w:t>
      </w:r>
      <w:r w:rsidRPr="00440E1B">
        <w:rPr>
          <w:sz w:val="22"/>
          <w:szCs w:val="22"/>
          <w:lang w:val="sr-Cyrl-CS"/>
        </w:rPr>
        <w:t xml:space="preserve"> Документација о најмање три акредитована инострана програма са којима је </w:t>
      </w:r>
      <w:r w:rsidR="006F4736" w:rsidRPr="00440E1B">
        <w:rPr>
          <w:sz w:val="22"/>
          <w:szCs w:val="22"/>
          <w:lang w:val="sr-Cyrl-CS"/>
        </w:rPr>
        <w:t xml:space="preserve">студијски </w:t>
      </w:r>
      <w:r w:rsidRPr="00440E1B">
        <w:rPr>
          <w:sz w:val="22"/>
          <w:szCs w:val="22"/>
          <w:lang w:val="sr-Cyrl-CS"/>
        </w:rPr>
        <w:t xml:space="preserve">програм </w:t>
      </w:r>
      <w:r w:rsidR="00440E1B">
        <w:rPr>
          <w:sz w:val="22"/>
          <w:szCs w:val="22"/>
          <w:lang w:val="sr-Cyrl-CS"/>
        </w:rPr>
        <w:t xml:space="preserve">Напредна аналитика података у пословању </w:t>
      </w:r>
      <w:r w:rsidRPr="00440E1B">
        <w:rPr>
          <w:sz w:val="22"/>
          <w:szCs w:val="22"/>
          <w:lang w:val="sr-Cyrl-CS"/>
        </w:rPr>
        <w:t>усклађен</w:t>
      </w:r>
    </w:p>
    <w:p w:rsidR="00E93B25" w:rsidRPr="00440E1B" w:rsidRDefault="00E93B25">
      <w:pPr>
        <w:rPr>
          <w:sz w:val="22"/>
          <w:szCs w:val="22"/>
          <w:lang w:val="sr-Cyrl-CS"/>
        </w:rPr>
      </w:pPr>
    </w:p>
    <w:p w:rsidR="002E6B75" w:rsidRPr="00A02A2A" w:rsidRDefault="002E6B75" w:rsidP="002E6B75">
      <w:pPr>
        <w:widowControl w:val="0"/>
        <w:autoSpaceDE w:val="0"/>
        <w:autoSpaceDN w:val="0"/>
        <w:adjustRightInd w:val="0"/>
        <w:spacing w:after="120"/>
        <w:ind w:left="540"/>
        <w:rPr>
          <w:sz w:val="22"/>
          <w:szCs w:val="22"/>
        </w:rPr>
      </w:pPr>
      <w:r w:rsidRPr="00A02A2A">
        <w:rPr>
          <w:b/>
          <w:sz w:val="22"/>
          <w:szCs w:val="22"/>
        </w:rPr>
        <w:t>RWTH Achen University, Business School, Master's Program in Data Analytics and Decision Science</w:t>
      </w:r>
    </w:p>
    <w:p w:rsidR="002E6B75" w:rsidRDefault="002E6B75" w:rsidP="002E6B75">
      <w:pPr>
        <w:spacing w:after="120"/>
        <w:ind w:left="540"/>
        <w:jc w:val="left"/>
      </w:pPr>
      <w:hyperlink r:id="rId6" w:history="1">
        <w:r w:rsidRPr="00A702E0">
          <w:rPr>
            <w:rStyle w:val="Hyperlink"/>
            <w:sz w:val="22"/>
            <w:szCs w:val="22"/>
          </w:rPr>
          <w:t>https://www.business-school.r</w:t>
        </w:r>
        <w:r w:rsidRPr="00A702E0">
          <w:rPr>
            <w:rStyle w:val="Hyperlink"/>
            <w:sz w:val="22"/>
            <w:szCs w:val="22"/>
          </w:rPr>
          <w:t>w</w:t>
        </w:r>
        <w:r w:rsidRPr="00A702E0">
          <w:rPr>
            <w:rStyle w:val="Hyperlink"/>
            <w:sz w:val="22"/>
            <w:szCs w:val="22"/>
          </w:rPr>
          <w:t>th-aachen.de/en/programs/m-sc-data-analytics-and-decision-science/</w:t>
        </w:r>
      </w:hyperlink>
      <w:r w:rsidRPr="00A02A2A">
        <w:t xml:space="preserve"> </w:t>
      </w:r>
    </w:p>
    <w:p w:rsidR="00440E1B" w:rsidRPr="00440E1B" w:rsidRDefault="002E6B75" w:rsidP="002E6B75">
      <w:pPr>
        <w:spacing w:after="120"/>
        <w:ind w:left="547"/>
        <w:jc w:val="left"/>
        <w:rPr>
          <w:sz w:val="22"/>
          <w:szCs w:val="22"/>
        </w:rPr>
      </w:pPr>
      <w:hyperlink r:id="rId7" w:history="1">
        <w:r w:rsidRPr="00A702E0">
          <w:rPr>
            <w:rStyle w:val="Hyperlink"/>
            <w:sz w:val="22"/>
            <w:szCs w:val="22"/>
          </w:rPr>
          <w:t>https://www.business-scho</w:t>
        </w:r>
        <w:r w:rsidRPr="00A702E0">
          <w:rPr>
            <w:rStyle w:val="Hyperlink"/>
            <w:sz w:val="22"/>
            <w:szCs w:val="22"/>
          </w:rPr>
          <w:t>o</w:t>
        </w:r>
        <w:r w:rsidRPr="00A702E0">
          <w:rPr>
            <w:rStyle w:val="Hyperlink"/>
            <w:sz w:val="22"/>
            <w:szCs w:val="22"/>
          </w:rPr>
          <w:t>l.rwth-aachen.de/en/rankings-accreditation/</w:t>
        </w:r>
      </w:hyperlink>
    </w:p>
    <w:p w:rsidR="00A15FED" w:rsidRPr="00440E1B" w:rsidRDefault="00A15FED" w:rsidP="00A15FED">
      <w:pPr>
        <w:jc w:val="both"/>
        <w:rPr>
          <w:sz w:val="22"/>
          <w:szCs w:val="22"/>
          <w:lang w:val="sr-Cyrl-CS"/>
        </w:rPr>
      </w:pPr>
      <w:r w:rsidRPr="00440E1B">
        <w:rPr>
          <w:sz w:val="22"/>
          <w:szCs w:val="22"/>
          <w:lang w:val="sr-Cyrl-CS"/>
        </w:rPr>
        <w:t>У погледу трајања студија (</w:t>
      </w:r>
      <w:r w:rsidR="00DC008E">
        <w:rPr>
          <w:sz w:val="22"/>
          <w:szCs w:val="22"/>
          <w:lang w:val="sr-Cyrl-CS"/>
        </w:rPr>
        <w:t>четири</w:t>
      </w:r>
      <w:r w:rsidRPr="00440E1B">
        <w:rPr>
          <w:sz w:val="22"/>
          <w:szCs w:val="22"/>
          <w:lang w:val="sr-Cyrl-CS"/>
        </w:rPr>
        <w:t xml:space="preserve"> семестара), укупног броја </w:t>
      </w:r>
      <w:r w:rsidRPr="00440E1B">
        <w:rPr>
          <w:sz w:val="22"/>
          <w:szCs w:val="22"/>
        </w:rPr>
        <w:t>ECTS</w:t>
      </w:r>
      <w:r w:rsidRPr="00440E1B">
        <w:rPr>
          <w:sz w:val="22"/>
          <w:szCs w:val="22"/>
          <w:lang w:val="sr-Cyrl-CS"/>
        </w:rPr>
        <w:t xml:space="preserve"> бодова (</w:t>
      </w:r>
      <w:r w:rsidR="00DC008E">
        <w:rPr>
          <w:sz w:val="22"/>
          <w:szCs w:val="22"/>
          <w:lang w:val="sr-Cyrl-CS"/>
        </w:rPr>
        <w:t>12</w:t>
      </w:r>
      <w:r w:rsidRPr="00440E1B">
        <w:rPr>
          <w:sz w:val="22"/>
          <w:szCs w:val="22"/>
          <w:lang w:val="sr-Cyrl-CS"/>
        </w:rPr>
        <w:t xml:space="preserve">0) као и стечених знања и вештина на студијама, наведени студијски програм се у великој мери поклапа са студијским програмом </w:t>
      </w:r>
      <w:r w:rsidR="00DC008E">
        <w:rPr>
          <w:i/>
          <w:sz w:val="22"/>
          <w:szCs w:val="22"/>
          <w:lang w:val="sr-Cyrl-CS"/>
        </w:rPr>
        <w:t>Напредна аналитика података у пословању</w:t>
      </w:r>
      <w:r w:rsidRPr="00440E1B">
        <w:rPr>
          <w:sz w:val="22"/>
          <w:szCs w:val="22"/>
          <w:lang w:val="sr-Cyrl-CS"/>
        </w:rPr>
        <w:t xml:space="preserve">. </w:t>
      </w:r>
      <w:r w:rsidR="001033A9">
        <w:rPr>
          <w:sz w:val="22"/>
          <w:szCs w:val="22"/>
          <w:lang w:val="sr-Cyrl-CS"/>
        </w:rPr>
        <w:t xml:space="preserve">Студијски програм је намењен студентима заинтересованим за стицање способности анализе проблема и предвиђање решења, на основу овладавања теоријских знања и метода напредне аналитике података. </w:t>
      </w:r>
      <w:r w:rsidRPr="00440E1B">
        <w:rPr>
          <w:sz w:val="22"/>
          <w:szCs w:val="22"/>
          <w:lang w:val="sr-Cyrl-CS"/>
        </w:rPr>
        <w:t xml:space="preserve">Структура дисциплина на </w:t>
      </w:r>
      <w:r w:rsidR="001033A9">
        <w:rPr>
          <w:sz w:val="22"/>
          <w:szCs w:val="22"/>
          <w:lang w:val="sr-Cyrl-CS"/>
        </w:rPr>
        <w:t xml:space="preserve">студијском програму </w:t>
      </w:r>
      <w:r w:rsidR="001033A9" w:rsidRPr="001033A9">
        <w:rPr>
          <w:i/>
          <w:sz w:val="22"/>
          <w:szCs w:val="22"/>
          <w:lang w:val="sr-Cyrl-CS"/>
        </w:rPr>
        <w:t>Напредна аналитика података у пословању</w:t>
      </w:r>
      <w:r w:rsidRPr="00440E1B">
        <w:rPr>
          <w:sz w:val="22"/>
          <w:szCs w:val="22"/>
          <w:lang w:val="sr-Cyrl-CS"/>
        </w:rPr>
        <w:t xml:space="preserve"> има значајан степен подударности, изузев одређених разлика у погледу структуре обавезних и изборних предмета и разлика у називу дисциплина које покривају исту материју. Оба студијска програма нуде одговарајућа знања из области </w:t>
      </w:r>
      <w:r w:rsidR="001033A9">
        <w:rPr>
          <w:sz w:val="22"/>
          <w:szCs w:val="22"/>
          <w:lang w:val="sr-Cyrl-CS"/>
        </w:rPr>
        <w:t>математматичке аналзе, статистичке анализе, основа програмирања, анализе рачуновоствених информација, оптимизације података,</w:t>
      </w:r>
      <w:r w:rsidR="00E26E33">
        <w:rPr>
          <w:sz w:val="22"/>
          <w:szCs w:val="22"/>
          <w:lang w:val="sr-Cyrl-CS"/>
        </w:rPr>
        <w:t xml:space="preserve"> пословног одлучивања,</w:t>
      </w:r>
      <w:r w:rsidR="001033A9">
        <w:rPr>
          <w:sz w:val="22"/>
          <w:szCs w:val="22"/>
          <w:lang w:val="sr-Cyrl-CS"/>
        </w:rPr>
        <w:t xml:space="preserve"> управљања пословним процесима, </w:t>
      </w:r>
      <w:r w:rsidR="00E26E33">
        <w:rPr>
          <w:sz w:val="22"/>
          <w:szCs w:val="22"/>
          <w:lang w:val="sr-Cyrl-CS"/>
        </w:rPr>
        <w:t>машинског учења, анализе великих података, екстракције и визуализације података, процесирања информација</w:t>
      </w:r>
      <w:r w:rsidRPr="00440E1B">
        <w:rPr>
          <w:sz w:val="22"/>
          <w:szCs w:val="22"/>
          <w:lang w:val="sr-Cyrl-CS"/>
        </w:rPr>
        <w:t>.</w:t>
      </w:r>
    </w:p>
    <w:p w:rsidR="00A15FED" w:rsidRPr="00440E1B" w:rsidRDefault="00A15FED">
      <w:pPr>
        <w:rPr>
          <w:sz w:val="22"/>
          <w:szCs w:val="22"/>
        </w:rPr>
      </w:pPr>
    </w:p>
    <w:p w:rsidR="00E93B25" w:rsidRPr="00440E1B" w:rsidRDefault="008357F7" w:rsidP="008357F7">
      <w:pPr>
        <w:rPr>
          <w:b/>
          <w:i/>
          <w:sz w:val="22"/>
          <w:szCs w:val="22"/>
          <w:lang w:val="sr-Cyrl-CS"/>
        </w:rPr>
      </w:pPr>
      <w:r w:rsidRPr="00440E1B">
        <w:rPr>
          <w:b/>
          <w:i/>
          <w:sz w:val="22"/>
          <w:szCs w:val="22"/>
          <w:lang w:val="sr-Cyrl-CS"/>
        </w:rPr>
        <w:t xml:space="preserve">Компаративни приказ студијских програма </w:t>
      </w:r>
    </w:p>
    <w:tbl>
      <w:tblPr>
        <w:tblW w:w="9108" w:type="dxa"/>
        <w:tblLayout w:type="fixed"/>
        <w:tblCellMar>
          <w:left w:w="115" w:type="dxa"/>
          <w:right w:w="115" w:type="dxa"/>
        </w:tblCellMar>
        <w:tblLook w:val="01E0"/>
      </w:tblPr>
      <w:tblGrid>
        <w:gridCol w:w="1465"/>
        <w:gridCol w:w="3870"/>
        <w:gridCol w:w="3773"/>
      </w:tblGrid>
      <w:tr w:rsidR="00E93B25" w:rsidRPr="00440E1B" w:rsidTr="002E6B75">
        <w:tc>
          <w:tcPr>
            <w:tcW w:w="14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3B25" w:rsidRPr="00440E1B" w:rsidRDefault="00E93B25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3B25" w:rsidRPr="00370853" w:rsidRDefault="00E93B25" w:rsidP="00370853">
            <w:pPr>
              <w:rPr>
                <w:sz w:val="22"/>
                <w:szCs w:val="22"/>
              </w:rPr>
            </w:pPr>
            <w:r w:rsidRPr="00440E1B">
              <w:rPr>
                <w:sz w:val="22"/>
                <w:szCs w:val="22"/>
                <w:lang w:val="sr-Cyrl-CS"/>
              </w:rPr>
              <w:t>Универзитет у Нишу</w:t>
            </w:r>
            <w:r w:rsidR="00370853">
              <w:rPr>
                <w:sz w:val="22"/>
                <w:szCs w:val="22"/>
                <w:lang w:val="sr-Cyrl-CS"/>
              </w:rPr>
              <w:t>,</w:t>
            </w:r>
            <w:r w:rsidRPr="00440E1B">
              <w:rPr>
                <w:sz w:val="22"/>
                <w:szCs w:val="22"/>
                <w:lang w:val="sr-Cyrl-CS"/>
              </w:rPr>
              <w:t xml:space="preserve"> Економски факултет</w:t>
            </w:r>
            <w:r w:rsidR="00B322C2" w:rsidRPr="00440E1B">
              <w:rPr>
                <w:sz w:val="22"/>
                <w:szCs w:val="22"/>
              </w:rPr>
              <w:t xml:space="preserve">, Студијски програм </w:t>
            </w:r>
            <w:r w:rsidR="00370853">
              <w:rPr>
                <w:sz w:val="22"/>
                <w:szCs w:val="22"/>
              </w:rPr>
              <w:t>Напредна аналитика података у пословању</w:t>
            </w:r>
          </w:p>
        </w:tc>
        <w:tc>
          <w:tcPr>
            <w:tcW w:w="3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E93B25" w:rsidRPr="00370853" w:rsidRDefault="002E6B75" w:rsidP="002E6B75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 xml:space="preserve">RWTH Achen </w:t>
            </w:r>
            <w:r w:rsidR="00370853" w:rsidRPr="00370853">
              <w:rPr>
                <w:sz w:val="22"/>
                <w:szCs w:val="22"/>
              </w:rPr>
              <w:t xml:space="preserve">University, </w:t>
            </w:r>
            <w:r w:rsidRPr="00370853">
              <w:rPr>
                <w:sz w:val="22"/>
                <w:szCs w:val="22"/>
              </w:rPr>
              <w:t xml:space="preserve">Business </w:t>
            </w:r>
            <w:r w:rsidR="00370853" w:rsidRPr="00370853">
              <w:rPr>
                <w:sz w:val="22"/>
                <w:szCs w:val="22"/>
              </w:rPr>
              <w:t xml:space="preserve">School, Master's Program in </w:t>
            </w:r>
            <w:r w:rsidRPr="002E6B75">
              <w:rPr>
                <w:sz w:val="22"/>
                <w:szCs w:val="22"/>
              </w:rPr>
              <w:t>Data Analytics and Decision Science</w:t>
            </w:r>
          </w:p>
        </w:tc>
      </w:tr>
      <w:tr w:rsidR="00E93B25" w:rsidRPr="00440E1B" w:rsidTr="002E6B75">
        <w:tc>
          <w:tcPr>
            <w:tcW w:w="1465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:rsidR="00E93B25" w:rsidRPr="00440E1B" w:rsidRDefault="00E93B25">
            <w:pPr>
              <w:rPr>
                <w:sz w:val="22"/>
                <w:szCs w:val="22"/>
                <w:lang w:val="sr-Cyrl-CS"/>
              </w:rPr>
            </w:pPr>
            <w:r w:rsidRPr="00440E1B">
              <w:rPr>
                <w:sz w:val="22"/>
                <w:szCs w:val="22"/>
                <w:lang w:val="sr-Cyrl-CS"/>
              </w:rPr>
              <w:t>Трајање студијског програма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93B25" w:rsidRPr="00440E1B" w:rsidRDefault="00370853" w:rsidP="00ED03B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 године (4</w:t>
            </w:r>
            <w:r w:rsidR="00E93B25" w:rsidRPr="00440E1B">
              <w:rPr>
                <w:sz w:val="22"/>
                <w:szCs w:val="22"/>
                <w:lang w:val="sr-Cyrl-CS"/>
              </w:rPr>
              <w:t xml:space="preserve"> семестара)</w:t>
            </w:r>
          </w:p>
        </w:tc>
        <w:tc>
          <w:tcPr>
            <w:tcW w:w="3773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93B25" w:rsidRPr="00440E1B" w:rsidRDefault="00370853" w:rsidP="00ED03B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 године (4</w:t>
            </w:r>
            <w:r w:rsidR="00E93B25" w:rsidRPr="00440E1B">
              <w:rPr>
                <w:sz w:val="22"/>
                <w:szCs w:val="22"/>
                <w:lang w:val="sr-Cyrl-CS"/>
              </w:rPr>
              <w:t xml:space="preserve"> семестара)</w:t>
            </w:r>
          </w:p>
        </w:tc>
      </w:tr>
      <w:tr w:rsidR="00E93B25" w:rsidRPr="00440E1B" w:rsidTr="002E6B75">
        <w:tc>
          <w:tcPr>
            <w:tcW w:w="146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E93B25" w:rsidRPr="00440E1B" w:rsidRDefault="00E93B25">
            <w:pPr>
              <w:rPr>
                <w:sz w:val="22"/>
                <w:szCs w:val="22"/>
                <w:lang w:val="sr-Cyrl-CS"/>
              </w:rPr>
            </w:pPr>
            <w:r w:rsidRPr="00440E1B">
              <w:rPr>
                <w:sz w:val="22"/>
                <w:szCs w:val="22"/>
                <w:lang w:val="sr-Cyrl-CS"/>
              </w:rPr>
              <w:t>Број ЕСПБ</w:t>
            </w:r>
          </w:p>
        </w:tc>
        <w:tc>
          <w:tcPr>
            <w:tcW w:w="387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93B25" w:rsidRPr="00440E1B" w:rsidRDefault="00370853" w:rsidP="00ED03B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12</w:t>
            </w:r>
            <w:r w:rsidR="00E93B25" w:rsidRPr="00440E1B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377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93B25" w:rsidRPr="00440E1B" w:rsidRDefault="00370853" w:rsidP="00ED03B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12</w:t>
            </w:r>
            <w:r w:rsidR="00E93B25" w:rsidRPr="00440E1B">
              <w:rPr>
                <w:sz w:val="22"/>
                <w:szCs w:val="22"/>
                <w:lang w:val="sr-Cyrl-CS"/>
              </w:rPr>
              <w:t>0</w:t>
            </w:r>
          </w:p>
        </w:tc>
      </w:tr>
      <w:tr w:rsidR="008357F7" w:rsidRPr="00440E1B" w:rsidTr="00370853">
        <w:tc>
          <w:tcPr>
            <w:tcW w:w="910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8357F7" w:rsidRPr="00440E1B" w:rsidRDefault="008357F7" w:rsidP="00ED03B6">
            <w:pPr>
              <w:rPr>
                <w:b/>
                <w:sz w:val="22"/>
                <w:szCs w:val="22"/>
                <w:lang w:val="sr-Cyrl-CS"/>
              </w:rPr>
            </w:pPr>
            <w:r w:rsidRPr="00440E1B">
              <w:rPr>
                <w:b/>
                <w:sz w:val="22"/>
                <w:szCs w:val="22"/>
                <w:lang w:val="sr-Cyrl-CS"/>
              </w:rPr>
              <w:t>Предмети</w:t>
            </w:r>
          </w:p>
        </w:tc>
      </w:tr>
      <w:tr w:rsidR="008357F7" w:rsidRPr="00440E1B" w:rsidTr="002E6B75">
        <w:tc>
          <w:tcPr>
            <w:tcW w:w="1465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center" w:pos="540"/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8D72CA" w:rsidP="00B46967">
            <w:pPr>
              <w:jc w:val="left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Програмирање за пословне примене 1</w:t>
            </w:r>
          </w:p>
        </w:tc>
        <w:tc>
          <w:tcPr>
            <w:tcW w:w="3773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</w:tcPr>
          <w:p w:rsidR="008D72CA" w:rsidRPr="002E6B75" w:rsidRDefault="002E6B75" w:rsidP="00EB6956">
            <w:pPr>
              <w:jc w:val="left"/>
              <w:rPr>
                <w:sz w:val="22"/>
                <w:szCs w:val="22"/>
              </w:rPr>
            </w:pPr>
            <w:r w:rsidRPr="002E6B75">
              <w:rPr>
                <w:sz w:val="22"/>
                <w:szCs w:val="22"/>
              </w:rPr>
              <w:t>Algotithms and Data Structures</w:t>
            </w:r>
          </w:p>
        </w:tc>
      </w:tr>
      <w:tr w:rsidR="008357F7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EB6956" w:rsidRDefault="00EB6956" w:rsidP="00B4696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Оптимизација и пословно одлучивање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E6B75" w:rsidRPr="002E6B75" w:rsidRDefault="002E6B75" w:rsidP="002E6B75">
            <w:pPr>
              <w:jc w:val="left"/>
              <w:rPr>
                <w:sz w:val="22"/>
                <w:szCs w:val="22"/>
              </w:rPr>
            </w:pPr>
            <w:r w:rsidRPr="002E6B75">
              <w:rPr>
                <w:sz w:val="22"/>
                <w:szCs w:val="22"/>
              </w:rPr>
              <w:t>Optimization models</w:t>
            </w:r>
          </w:p>
          <w:p w:rsidR="00B46967" w:rsidRPr="00B46967" w:rsidRDefault="002E6B75" w:rsidP="002E6B75">
            <w:pPr>
              <w:jc w:val="left"/>
              <w:rPr>
                <w:sz w:val="22"/>
                <w:szCs w:val="22"/>
              </w:rPr>
            </w:pPr>
            <w:r w:rsidRPr="002E6B75">
              <w:rPr>
                <w:sz w:val="22"/>
                <w:szCs w:val="22"/>
              </w:rPr>
              <w:t>Optimization of Logistic Systems</w:t>
            </w:r>
          </w:p>
        </w:tc>
      </w:tr>
      <w:tr w:rsidR="002E6B75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E6B75" w:rsidRPr="00440E1B" w:rsidRDefault="002E6B7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E6B75" w:rsidRPr="002E6B75" w:rsidRDefault="002E6B75" w:rsidP="00B46967">
            <w:pPr>
              <w:jc w:val="left"/>
              <w:rPr>
                <w:sz w:val="22"/>
                <w:szCs w:val="22"/>
              </w:rPr>
            </w:pPr>
            <w:r w:rsidRPr="002E6B75">
              <w:rPr>
                <w:sz w:val="22"/>
                <w:szCs w:val="22"/>
                <w:lang w:val="sr-Cyrl-CS"/>
              </w:rPr>
              <w:t>Управљање пословним процесима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E6B75" w:rsidRPr="002E6B75" w:rsidRDefault="002E6B75" w:rsidP="002E6B75">
            <w:pPr>
              <w:jc w:val="left"/>
              <w:rPr>
                <w:sz w:val="22"/>
                <w:szCs w:val="22"/>
              </w:rPr>
            </w:pPr>
            <w:r w:rsidRPr="002E6B75">
              <w:rPr>
                <w:sz w:val="22"/>
                <w:szCs w:val="22"/>
              </w:rPr>
              <w:t>Digital Operations and Supply Chain Management</w:t>
            </w:r>
          </w:p>
        </w:tc>
      </w:tr>
      <w:tr w:rsidR="008357F7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93B25" w:rsidRPr="000E237C" w:rsidRDefault="000E237C" w:rsidP="00EB6956">
            <w:pPr>
              <w:jc w:val="left"/>
              <w:rPr>
                <w:sz w:val="22"/>
                <w:szCs w:val="22"/>
              </w:rPr>
            </w:pPr>
            <w:r w:rsidRPr="000E237C">
              <w:rPr>
                <w:sz w:val="22"/>
                <w:szCs w:val="22"/>
                <w:lang w:val="sr-Cyrl-CS"/>
              </w:rPr>
              <w:t>Програмирање за пословне примене 2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C4180F" w:rsidRDefault="00C4180F" w:rsidP="00B46967">
            <w:pPr>
              <w:jc w:val="left"/>
              <w:rPr>
                <w:sz w:val="22"/>
                <w:szCs w:val="22"/>
              </w:rPr>
            </w:pPr>
            <w:r w:rsidRPr="00C4180F">
              <w:rPr>
                <w:sz w:val="22"/>
                <w:szCs w:val="22"/>
              </w:rPr>
              <w:t>Design and Analysis of Algorithms</w:t>
            </w:r>
          </w:p>
        </w:tc>
      </w:tr>
      <w:tr w:rsidR="008357F7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93B25" w:rsidRPr="00C4180F" w:rsidRDefault="00C4180F" w:rsidP="00EB6956">
            <w:pPr>
              <w:jc w:val="left"/>
              <w:rPr>
                <w:sz w:val="22"/>
                <w:szCs w:val="22"/>
              </w:rPr>
            </w:pPr>
            <w:r w:rsidRPr="00C4180F">
              <w:rPr>
                <w:sz w:val="22"/>
                <w:szCs w:val="22"/>
                <w:lang w:val="sr-Cyrl-CS"/>
              </w:rPr>
              <w:t>Матоди статистичке анализе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93B25" w:rsidRPr="00C4180F" w:rsidRDefault="00C4180F" w:rsidP="00EB6956">
            <w:pPr>
              <w:jc w:val="left"/>
              <w:rPr>
                <w:sz w:val="22"/>
                <w:szCs w:val="22"/>
              </w:rPr>
            </w:pPr>
            <w:r w:rsidRPr="00C4180F">
              <w:rPr>
                <w:sz w:val="22"/>
                <w:szCs w:val="22"/>
              </w:rPr>
              <w:t>Statistic and Mathematics</w:t>
            </w:r>
          </w:p>
        </w:tc>
      </w:tr>
      <w:tr w:rsidR="00C4180F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4180F" w:rsidRPr="00440E1B" w:rsidRDefault="00C4180F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4180F" w:rsidRPr="00C4180F" w:rsidRDefault="00C4180F" w:rsidP="00EB6956">
            <w:pPr>
              <w:jc w:val="left"/>
              <w:rPr>
                <w:sz w:val="22"/>
                <w:szCs w:val="22"/>
                <w:lang w:val="sr-Cyrl-CS"/>
              </w:rPr>
            </w:pPr>
            <w:r w:rsidRPr="00C4180F">
              <w:rPr>
                <w:sz w:val="22"/>
                <w:szCs w:val="22"/>
                <w:lang w:val="sr-Cyrl-CS"/>
              </w:rPr>
              <w:t>Рачуноводствене информације за доношење одлука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4180F" w:rsidRPr="00C4180F" w:rsidRDefault="00C4180F" w:rsidP="00EB6956">
            <w:pPr>
              <w:jc w:val="left"/>
              <w:rPr>
                <w:sz w:val="22"/>
                <w:szCs w:val="22"/>
              </w:rPr>
            </w:pPr>
            <w:r w:rsidRPr="00C4180F">
              <w:rPr>
                <w:sz w:val="22"/>
                <w:szCs w:val="22"/>
              </w:rPr>
              <w:t>Management and Technology Perspectives</w:t>
            </w:r>
          </w:p>
        </w:tc>
      </w:tr>
      <w:tr w:rsidR="008357F7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991068" w:rsidRDefault="00991068" w:rsidP="0099106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Увод у машинско учење у пословању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91068" w:rsidRPr="00C4180F" w:rsidRDefault="00C4180F" w:rsidP="00EB6956">
            <w:pPr>
              <w:jc w:val="left"/>
              <w:rPr>
                <w:sz w:val="22"/>
                <w:szCs w:val="22"/>
              </w:rPr>
            </w:pPr>
            <w:r w:rsidRPr="00C4180F">
              <w:rPr>
                <w:sz w:val="22"/>
                <w:szCs w:val="22"/>
              </w:rPr>
              <w:t>Machine Learning</w:t>
            </w:r>
          </w:p>
        </w:tc>
      </w:tr>
      <w:tr w:rsidR="008357F7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991068" w:rsidRDefault="00991068" w:rsidP="0099106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Прогнозирање временских серија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91068" w:rsidRPr="00C4180F" w:rsidRDefault="00C4180F" w:rsidP="00EB6956">
            <w:pPr>
              <w:jc w:val="left"/>
              <w:rPr>
                <w:sz w:val="22"/>
                <w:szCs w:val="22"/>
              </w:rPr>
            </w:pPr>
            <w:r w:rsidRPr="00C4180F">
              <w:rPr>
                <w:sz w:val="22"/>
                <w:szCs w:val="22"/>
              </w:rPr>
              <w:t>Heuristic Optimization</w:t>
            </w:r>
          </w:p>
        </w:tc>
      </w:tr>
      <w:tr w:rsidR="00C4180F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4180F" w:rsidRPr="00440E1B" w:rsidRDefault="00C4180F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4180F" w:rsidRPr="00C4180F" w:rsidRDefault="00C4180F" w:rsidP="00991068">
            <w:pPr>
              <w:jc w:val="left"/>
              <w:rPr>
                <w:sz w:val="22"/>
                <w:szCs w:val="22"/>
              </w:rPr>
            </w:pPr>
            <w:r w:rsidRPr="00C4180F">
              <w:rPr>
                <w:sz w:val="22"/>
                <w:szCs w:val="22"/>
                <w:lang w:val="sr-Cyrl-CS"/>
              </w:rPr>
              <w:t>Математика у пословној аналитици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4180F" w:rsidRPr="00C4180F" w:rsidRDefault="00C4180F" w:rsidP="00EB6956">
            <w:pPr>
              <w:jc w:val="left"/>
              <w:rPr>
                <w:sz w:val="22"/>
                <w:szCs w:val="22"/>
              </w:rPr>
            </w:pPr>
            <w:r w:rsidRPr="00C4180F">
              <w:rPr>
                <w:sz w:val="22"/>
                <w:szCs w:val="22"/>
              </w:rPr>
              <w:t>Statistic and Mathematics</w:t>
            </w:r>
          </w:p>
        </w:tc>
      </w:tr>
      <w:tr w:rsidR="008357F7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93B25" w:rsidRPr="00991068" w:rsidRDefault="00991068" w:rsidP="00EB695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Дизајн истраживања и технике визуелизације података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DD45A9" w:rsidRPr="00DD45A9" w:rsidRDefault="00DD45A9" w:rsidP="00DD45A9">
            <w:pPr>
              <w:jc w:val="left"/>
              <w:rPr>
                <w:sz w:val="22"/>
                <w:szCs w:val="22"/>
              </w:rPr>
            </w:pPr>
            <w:r w:rsidRPr="00DD45A9">
              <w:rPr>
                <w:sz w:val="22"/>
                <w:szCs w:val="22"/>
              </w:rPr>
              <w:t>Analytics Project</w:t>
            </w:r>
          </w:p>
          <w:p w:rsidR="00E93B25" w:rsidRPr="00C75FD7" w:rsidRDefault="00DD45A9" w:rsidP="00DD45A9">
            <w:pPr>
              <w:jc w:val="left"/>
              <w:rPr>
                <w:sz w:val="22"/>
                <w:szCs w:val="22"/>
              </w:rPr>
            </w:pPr>
            <w:r w:rsidRPr="00DD45A9">
              <w:rPr>
                <w:sz w:val="22"/>
                <w:szCs w:val="22"/>
              </w:rPr>
              <w:t>Predictive Modeling</w:t>
            </w:r>
          </w:p>
        </w:tc>
      </w:tr>
      <w:tr w:rsidR="008357F7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440E1B" w:rsidRDefault="00E93B25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93B25" w:rsidRPr="008953A0" w:rsidRDefault="008953A0" w:rsidP="008953A0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Напредна аналитика великих података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953A0" w:rsidRPr="00443616" w:rsidRDefault="00443616" w:rsidP="00EB6956">
            <w:pPr>
              <w:jc w:val="left"/>
              <w:rPr>
                <w:sz w:val="22"/>
                <w:szCs w:val="22"/>
              </w:rPr>
            </w:pPr>
            <w:r w:rsidRPr="00443616">
              <w:rPr>
                <w:sz w:val="22"/>
                <w:szCs w:val="22"/>
              </w:rPr>
              <w:t>Principles of Data Mining</w:t>
            </w:r>
          </w:p>
        </w:tc>
      </w:tr>
      <w:tr w:rsidR="00786C06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86C06" w:rsidRPr="00440E1B" w:rsidRDefault="00786C06" w:rsidP="00991068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86C06" w:rsidRPr="00786C06" w:rsidRDefault="00786C06" w:rsidP="008953A0">
            <w:pPr>
              <w:jc w:val="left"/>
              <w:rPr>
                <w:sz w:val="22"/>
                <w:szCs w:val="22"/>
              </w:rPr>
            </w:pPr>
            <w:r w:rsidRPr="00786C06">
              <w:rPr>
                <w:sz w:val="22"/>
                <w:szCs w:val="22"/>
                <w:lang w:val="sr-Cyrl-CS"/>
              </w:rPr>
              <w:t>Примењена економетрија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86C06" w:rsidRPr="00B91196" w:rsidRDefault="00B91196" w:rsidP="00EB6956">
            <w:pPr>
              <w:jc w:val="left"/>
              <w:rPr>
                <w:sz w:val="22"/>
                <w:szCs w:val="22"/>
              </w:rPr>
            </w:pPr>
            <w:r w:rsidRPr="00B91196">
              <w:rPr>
                <w:sz w:val="22"/>
                <w:szCs w:val="22"/>
              </w:rPr>
              <w:t xml:space="preserve">Economic Modeling of Enargy and </w:t>
            </w:r>
            <w:r w:rsidRPr="00B91196">
              <w:rPr>
                <w:sz w:val="22"/>
                <w:szCs w:val="22"/>
              </w:rPr>
              <w:lastRenderedPageBreak/>
              <w:t>Climate Systems</w:t>
            </w:r>
          </w:p>
        </w:tc>
      </w:tr>
      <w:tr w:rsidR="00B91196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91196" w:rsidRPr="00440E1B" w:rsidRDefault="00B91196" w:rsidP="00B91196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91196" w:rsidRPr="00A67AED" w:rsidRDefault="00B91196" w:rsidP="00B9119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 пословање и web аналитика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91196" w:rsidRPr="00B91196" w:rsidRDefault="00B91196" w:rsidP="00B91196">
            <w:pPr>
              <w:jc w:val="left"/>
              <w:rPr>
                <w:sz w:val="22"/>
                <w:szCs w:val="22"/>
              </w:rPr>
            </w:pPr>
            <w:r w:rsidRPr="00B91196">
              <w:rPr>
                <w:sz w:val="22"/>
                <w:szCs w:val="22"/>
              </w:rPr>
              <w:t>Advanced Machine Learning</w:t>
            </w:r>
          </w:p>
        </w:tc>
      </w:tr>
      <w:tr w:rsidR="00B91196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91196" w:rsidRPr="00440E1B" w:rsidRDefault="00B91196" w:rsidP="00B91196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91196" w:rsidRPr="002E0AB8" w:rsidRDefault="00B91196" w:rsidP="00B9119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Аквизиција података у пословној интелигенцији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91196" w:rsidRPr="00B91196" w:rsidRDefault="00B91196" w:rsidP="00B91196">
            <w:pPr>
              <w:jc w:val="left"/>
              <w:rPr>
                <w:sz w:val="22"/>
                <w:szCs w:val="22"/>
              </w:rPr>
            </w:pPr>
            <w:r w:rsidRPr="00B91196">
              <w:rPr>
                <w:sz w:val="22"/>
                <w:szCs w:val="22"/>
              </w:rPr>
              <w:t>Intelligent Monitoring of Engineering Systems</w:t>
            </w:r>
          </w:p>
        </w:tc>
      </w:tr>
      <w:tr w:rsidR="00B91196" w:rsidRPr="00440E1B" w:rsidTr="002E6B75">
        <w:tc>
          <w:tcPr>
            <w:tcW w:w="14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91196" w:rsidRPr="00440E1B" w:rsidRDefault="00B91196" w:rsidP="00B91196">
            <w:pPr>
              <w:numPr>
                <w:ilvl w:val="0"/>
                <w:numId w:val="1"/>
              </w:numPr>
              <w:tabs>
                <w:tab w:val="num" w:pos="1152"/>
              </w:tabs>
              <w:ind w:left="0" w:firstLine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38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91196" w:rsidRPr="002E0AB8" w:rsidRDefault="00B91196" w:rsidP="00B9119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Истраживања у маркетингу</w:t>
            </w:r>
          </w:p>
        </w:tc>
        <w:tc>
          <w:tcPr>
            <w:tcW w:w="3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91196" w:rsidRPr="00B91196" w:rsidRDefault="00B91196" w:rsidP="00B91196">
            <w:pPr>
              <w:jc w:val="left"/>
              <w:rPr>
                <w:sz w:val="22"/>
                <w:szCs w:val="22"/>
              </w:rPr>
            </w:pPr>
            <w:r w:rsidRPr="00B91196">
              <w:rPr>
                <w:sz w:val="22"/>
                <w:szCs w:val="22"/>
              </w:rPr>
              <w:t>Service and Technology Marketing</w:t>
            </w:r>
          </w:p>
        </w:tc>
      </w:tr>
      <w:tr w:rsidR="00B91196" w:rsidRPr="00440E1B" w:rsidTr="002E6B75">
        <w:tc>
          <w:tcPr>
            <w:tcW w:w="14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91196" w:rsidRPr="0088548A" w:rsidRDefault="00B91196" w:rsidP="00B91196">
            <w:pPr>
              <w:rPr>
                <w:sz w:val="22"/>
                <w:szCs w:val="22"/>
                <w:lang w:val="sr-Cyrl-CS"/>
              </w:rPr>
            </w:pPr>
            <w:r w:rsidRPr="0088548A">
              <w:rPr>
                <w:sz w:val="22"/>
                <w:szCs w:val="22"/>
              </w:rPr>
              <w:t>Број усаглашених предмета</w:t>
            </w:r>
          </w:p>
        </w:tc>
        <w:tc>
          <w:tcPr>
            <w:tcW w:w="764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91196" w:rsidRPr="00C9706A" w:rsidRDefault="00B91196" w:rsidP="00C9706A">
            <w:pPr>
              <w:jc w:val="both"/>
              <w:rPr>
                <w:sz w:val="22"/>
                <w:szCs w:val="22"/>
                <w:lang w:val="sr-Cyrl-CS"/>
              </w:rPr>
            </w:pPr>
            <w:r w:rsidRPr="00C9706A">
              <w:rPr>
                <w:sz w:val="22"/>
                <w:szCs w:val="22"/>
              </w:rPr>
              <w:t>1</w:t>
            </w:r>
            <w:r w:rsidR="00C9706A">
              <w:rPr>
                <w:sz w:val="22"/>
                <w:szCs w:val="22"/>
              </w:rPr>
              <w:t>5</w:t>
            </w:r>
            <w:r w:rsidRPr="00C9706A">
              <w:rPr>
                <w:sz w:val="22"/>
                <w:szCs w:val="22"/>
              </w:rPr>
              <w:t xml:space="preserve"> од 18 предмета са студијског програма Напредна аналитика података у бизнису подудара се са преметима на студијском програму </w:t>
            </w:r>
            <w:r w:rsidR="00C9706A">
              <w:rPr>
                <w:sz w:val="22"/>
                <w:szCs w:val="22"/>
                <w:lang/>
              </w:rPr>
              <w:t>Анализа података и одлучивање Пословне</w:t>
            </w:r>
            <w:r w:rsidRPr="00C9706A">
              <w:rPr>
                <w:sz w:val="22"/>
                <w:szCs w:val="22"/>
              </w:rPr>
              <w:t xml:space="preserve"> Школе </w:t>
            </w:r>
            <w:r w:rsidR="00C9706A">
              <w:rPr>
                <w:sz w:val="22"/>
                <w:szCs w:val="22"/>
                <w:lang/>
              </w:rPr>
              <w:t>RWTH Универзитета у Ахену</w:t>
            </w:r>
            <w:r w:rsidRPr="00C9706A">
              <w:rPr>
                <w:sz w:val="22"/>
                <w:szCs w:val="22"/>
              </w:rPr>
              <w:t xml:space="preserve">, што је степен усклађености од </w:t>
            </w:r>
            <w:r w:rsidR="00C9706A">
              <w:rPr>
                <w:sz w:val="22"/>
                <w:szCs w:val="22"/>
                <w:lang/>
              </w:rPr>
              <w:t>83</w:t>
            </w:r>
            <w:r w:rsidRPr="00C9706A">
              <w:rPr>
                <w:sz w:val="22"/>
                <w:szCs w:val="22"/>
              </w:rPr>
              <w:t>,</w:t>
            </w:r>
            <w:r w:rsidR="00C9706A">
              <w:rPr>
                <w:sz w:val="22"/>
                <w:szCs w:val="22"/>
                <w:lang/>
              </w:rPr>
              <w:t>33</w:t>
            </w:r>
            <w:r w:rsidRPr="00C9706A">
              <w:rPr>
                <w:sz w:val="22"/>
                <w:szCs w:val="22"/>
              </w:rPr>
              <w:t>%.</w:t>
            </w:r>
          </w:p>
        </w:tc>
      </w:tr>
    </w:tbl>
    <w:p w:rsidR="00E93B25" w:rsidRPr="00440E1B" w:rsidRDefault="00E93B25">
      <w:pPr>
        <w:rPr>
          <w:sz w:val="22"/>
          <w:szCs w:val="22"/>
          <w:lang w:val="sr-Cyrl-CS"/>
        </w:rPr>
      </w:pPr>
    </w:p>
    <w:p w:rsidR="00E93B25" w:rsidRPr="00E93B25" w:rsidRDefault="00E93B25">
      <w:pPr>
        <w:rPr>
          <w:lang w:val="sr-Cyrl-CS"/>
        </w:rPr>
      </w:pPr>
    </w:p>
    <w:sectPr w:rsidR="00E93B25" w:rsidRPr="00E93B25" w:rsidSect="003024D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A2AB3"/>
    <w:multiLevelType w:val="hybridMultilevel"/>
    <w:tmpl w:val="3AA07F74"/>
    <w:lvl w:ilvl="0" w:tplc="FD7AB3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C3DAA"/>
    <w:multiLevelType w:val="hybridMultilevel"/>
    <w:tmpl w:val="B572754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stylePaneFormatFilter w:val="3F01"/>
  <w:defaultTabStop w:val="720"/>
  <w:hyphenationZone w:val="425"/>
  <w:characterSpacingControl w:val="doNotCompress"/>
  <w:compat/>
  <w:rsids>
    <w:rsidRoot w:val="00E93B25"/>
    <w:rsid w:val="0002281D"/>
    <w:rsid w:val="0005172C"/>
    <w:rsid w:val="000E237C"/>
    <w:rsid w:val="001033A9"/>
    <w:rsid w:val="0013092F"/>
    <w:rsid w:val="001C4BA2"/>
    <w:rsid w:val="001D76E0"/>
    <w:rsid w:val="00256836"/>
    <w:rsid w:val="00292089"/>
    <w:rsid w:val="002E0AB8"/>
    <w:rsid w:val="002E6B75"/>
    <w:rsid w:val="003024DB"/>
    <w:rsid w:val="00370853"/>
    <w:rsid w:val="003E58B6"/>
    <w:rsid w:val="003F0358"/>
    <w:rsid w:val="00440E1B"/>
    <w:rsid w:val="00443616"/>
    <w:rsid w:val="004D40BF"/>
    <w:rsid w:val="004F1815"/>
    <w:rsid w:val="00513A08"/>
    <w:rsid w:val="00514598"/>
    <w:rsid w:val="005B1920"/>
    <w:rsid w:val="005C3E04"/>
    <w:rsid w:val="005C4B44"/>
    <w:rsid w:val="005E09AD"/>
    <w:rsid w:val="006934F6"/>
    <w:rsid w:val="006F4736"/>
    <w:rsid w:val="00716D82"/>
    <w:rsid w:val="00786C06"/>
    <w:rsid w:val="007F22ED"/>
    <w:rsid w:val="008357F7"/>
    <w:rsid w:val="0088548A"/>
    <w:rsid w:val="008953A0"/>
    <w:rsid w:val="008D72CA"/>
    <w:rsid w:val="00991068"/>
    <w:rsid w:val="009E500E"/>
    <w:rsid w:val="00A15FED"/>
    <w:rsid w:val="00A67AED"/>
    <w:rsid w:val="00AE4B12"/>
    <w:rsid w:val="00B322C2"/>
    <w:rsid w:val="00B46967"/>
    <w:rsid w:val="00B91196"/>
    <w:rsid w:val="00BA0103"/>
    <w:rsid w:val="00BF1BD7"/>
    <w:rsid w:val="00C4180F"/>
    <w:rsid w:val="00C75FD7"/>
    <w:rsid w:val="00C766E5"/>
    <w:rsid w:val="00C9706A"/>
    <w:rsid w:val="00D26EC8"/>
    <w:rsid w:val="00D42FF2"/>
    <w:rsid w:val="00DC008E"/>
    <w:rsid w:val="00DD45A9"/>
    <w:rsid w:val="00E26E33"/>
    <w:rsid w:val="00E621C4"/>
    <w:rsid w:val="00E93B25"/>
    <w:rsid w:val="00EA10BC"/>
    <w:rsid w:val="00EB6956"/>
    <w:rsid w:val="00ED03B6"/>
    <w:rsid w:val="00ED7303"/>
    <w:rsid w:val="00EE25C8"/>
    <w:rsid w:val="00F81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4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93B25"/>
    <w:rPr>
      <w:color w:val="0000FF"/>
      <w:u w:val="single"/>
    </w:rPr>
  </w:style>
  <w:style w:type="table" w:styleId="TableGrid">
    <w:name w:val="Table Grid"/>
    <w:basedOn w:val="TableNormal"/>
    <w:rsid w:val="00E93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440E1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business-school.rwth-aachen.de/en/rankings-accreditatio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business-school.rwth-aachen.de/en/programs/m-sc-data-analytics-and-decision-science/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FCD8-0BE0-4407-8E21-2157D7AD7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Прилог 6</vt:lpstr>
    </vt:vector>
  </TitlesOfParts>
  <Company/>
  <LinksUpToDate>false</LinksUpToDate>
  <CharactersWithSpaces>3319</CharactersWithSpaces>
  <SharedDoc>false</SharedDoc>
  <HLinks>
    <vt:vector size="6" baseType="variant">
      <vt:variant>
        <vt:i4>7012391</vt:i4>
      </vt:variant>
      <vt:variant>
        <vt:i4>0</vt:i4>
      </vt:variant>
      <vt:variant>
        <vt:i4>0</vt:i4>
      </vt:variant>
      <vt:variant>
        <vt:i4>5</vt:i4>
      </vt:variant>
      <vt:variant>
        <vt:lpwstr>http://www.efzg.unizg.hr/study-programmes-and-enrolment/study-programmes-38329/english-taught-study-programmes/undergraduate-study-programmes/bachelor-degree-in-economics/programme-structure-35543/35543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Прилог 6</dc:title>
  <dc:creator>Korisnik</dc:creator>
  <cp:lastModifiedBy>Korisnik</cp:lastModifiedBy>
  <cp:revision>9</cp:revision>
  <dcterms:created xsi:type="dcterms:W3CDTF">2022-07-09T08:20:00Z</dcterms:created>
  <dcterms:modified xsi:type="dcterms:W3CDTF">2022-07-09T08:57:00Z</dcterms:modified>
</cp:coreProperties>
</file>